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853" w:rsidRDefault="00475853">
      <w:pPr>
        <w:pStyle w:val="Standard"/>
        <w:jc w:val="center"/>
        <w:rPr>
          <w:rFonts w:ascii="Arial" w:hAnsi="Arial"/>
          <w:b/>
          <w:sz w:val="26"/>
        </w:rPr>
      </w:pPr>
    </w:p>
    <w:p w:rsidR="00475853" w:rsidRDefault="00475853">
      <w:pPr>
        <w:pStyle w:val="Standard"/>
        <w:jc w:val="center"/>
        <w:rPr>
          <w:rFonts w:ascii="Arial" w:hAnsi="Arial"/>
          <w:b/>
          <w:sz w:val="26"/>
        </w:rPr>
      </w:pPr>
    </w:p>
    <w:p w:rsidR="00475853" w:rsidRDefault="00475853">
      <w:pPr>
        <w:pStyle w:val="Standard"/>
        <w:jc w:val="center"/>
        <w:rPr>
          <w:rFonts w:ascii="Arial" w:hAnsi="Arial"/>
          <w:b/>
          <w:sz w:val="26"/>
        </w:rPr>
      </w:pPr>
    </w:p>
    <w:p w:rsidR="00475853" w:rsidRPr="00E4497A" w:rsidRDefault="008B03B4">
      <w:pPr>
        <w:pStyle w:val="Standard"/>
        <w:jc w:val="center"/>
        <w:rPr>
          <w:rFonts w:ascii="Arial" w:hAnsi="Arial" w:cs="Arial"/>
        </w:rPr>
      </w:pPr>
      <w:r w:rsidRPr="00E4497A">
        <w:rPr>
          <w:rFonts w:ascii="Arial" w:hAnsi="Arial" w:cs="Arial"/>
          <w:b/>
        </w:rPr>
        <w:t xml:space="preserve">EDITAL </w:t>
      </w:r>
      <w:r w:rsidR="00A30AEC" w:rsidRPr="00E4497A">
        <w:rPr>
          <w:rFonts w:ascii="Arial" w:hAnsi="Arial" w:cs="Arial"/>
          <w:b/>
        </w:rPr>
        <w:t xml:space="preserve">TOMADA DE PREÇOS </w:t>
      </w:r>
      <w:r w:rsidRPr="00E4497A">
        <w:rPr>
          <w:rFonts w:ascii="Arial" w:hAnsi="Arial" w:cs="Arial"/>
          <w:b/>
        </w:rPr>
        <w:t>Nº TCE- 00</w:t>
      </w:r>
      <w:r w:rsidR="00A30AEC" w:rsidRPr="00E4497A">
        <w:rPr>
          <w:rFonts w:ascii="Arial" w:hAnsi="Arial" w:cs="Arial"/>
          <w:b/>
        </w:rPr>
        <w:t>1</w:t>
      </w:r>
      <w:r w:rsidRPr="00E4497A">
        <w:rPr>
          <w:rFonts w:ascii="Arial" w:hAnsi="Arial" w:cs="Arial"/>
          <w:b/>
          <w:color w:val="000000"/>
        </w:rPr>
        <w:t>/2012</w:t>
      </w:r>
      <w:r w:rsidRPr="00E4497A">
        <w:rPr>
          <w:rFonts w:ascii="Arial" w:hAnsi="Arial" w:cs="Arial"/>
          <w:b/>
        </w:rPr>
        <w:t xml:space="preserve"> – CPL</w:t>
      </w:r>
    </w:p>
    <w:p w:rsidR="00475853" w:rsidRPr="00E4497A" w:rsidRDefault="00475853">
      <w:pPr>
        <w:pStyle w:val="Standard"/>
        <w:jc w:val="center"/>
        <w:rPr>
          <w:rFonts w:ascii="Arial" w:hAnsi="Arial" w:cs="Arial"/>
        </w:rPr>
      </w:pPr>
    </w:p>
    <w:p w:rsidR="00475853" w:rsidRPr="00E4497A" w:rsidRDefault="00475853">
      <w:pPr>
        <w:pStyle w:val="Standard"/>
        <w:jc w:val="center"/>
        <w:rPr>
          <w:rFonts w:ascii="Arial" w:hAnsi="Arial" w:cs="Arial"/>
          <w:b/>
        </w:rPr>
      </w:pPr>
    </w:p>
    <w:p w:rsidR="00475853" w:rsidRPr="00E4497A" w:rsidRDefault="00475853">
      <w:pPr>
        <w:pStyle w:val="Standard"/>
        <w:jc w:val="center"/>
        <w:rPr>
          <w:rFonts w:ascii="Arial" w:hAnsi="Arial" w:cs="Arial"/>
        </w:rPr>
      </w:pPr>
    </w:p>
    <w:p w:rsidR="00475853" w:rsidRPr="00E4497A" w:rsidRDefault="008B03B4">
      <w:pPr>
        <w:pStyle w:val="Standard"/>
        <w:jc w:val="both"/>
        <w:rPr>
          <w:rFonts w:ascii="Arial" w:hAnsi="Arial" w:cs="Arial"/>
        </w:rPr>
      </w:pPr>
      <w:r w:rsidRPr="00E4497A">
        <w:rPr>
          <w:rFonts w:ascii="Arial" w:hAnsi="Arial" w:cs="Arial"/>
        </w:rPr>
        <w:t>O</w:t>
      </w:r>
      <w:r w:rsidRPr="00E4497A">
        <w:rPr>
          <w:rFonts w:ascii="Arial" w:hAnsi="Arial" w:cs="Arial"/>
          <w:b/>
        </w:rPr>
        <w:t xml:space="preserve"> TRIBUNAL DE CONTAS DO ESTADO DE GOIÁS – TCE-GO</w:t>
      </w:r>
      <w:r w:rsidRPr="00E4497A">
        <w:rPr>
          <w:rFonts w:ascii="Arial" w:hAnsi="Arial" w:cs="Arial"/>
        </w:rPr>
        <w:t xml:space="preserve">, órgão de controle externo dotado de autonomia, inscrito no CNPJ/MF sob o nº 02.291.730/0001-14 e previsto no art. 25, § 1º, e art. 26 da Constituição Estadual, com sede em Goiânia, capital do Estado de Goiás, na Praça Pedro Ludovico Teixeira nº 332, Centro, telefones: (62) 3201-9006 e (62) 3201-9060, por intermédio sua Comissão Permanente de Licitação, nomeada por meio da </w:t>
      </w:r>
      <w:r w:rsidRPr="00E4497A">
        <w:rPr>
          <w:rFonts w:ascii="Arial" w:hAnsi="Arial" w:cs="Arial"/>
          <w:color w:val="000000"/>
        </w:rPr>
        <w:t xml:space="preserve">Portaria nº 246/2012, </w:t>
      </w:r>
      <w:r w:rsidRPr="00E4497A">
        <w:rPr>
          <w:rFonts w:ascii="Arial" w:hAnsi="Arial" w:cs="Arial"/>
        </w:rPr>
        <w:t>do Gabinete da Presidência, leva ao conhecimento dos interessados que realizará licitação, na modalidade</w:t>
      </w:r>
      <w:r w:rsidRPr="00E4497A">
        <w:rPr>
          <w:rFonts w:ascii="Arial" w:hAnsi="Arial" w:cs="Arial"/>
          <w:b/>
        </w:rPr>
        <w:t xml:space="preserve"> </w:t>
      </w:r>
      <w:r w:rsidR="00807887" w:rsidRPr="00E4497A">
        <w:rPr>
          <w:rFonts w:ascii="Arial" w:hAnsi="Arial" w:cs="Arial"/>
          <w:b/>
        </w:rPr>
        <w:t>TOMADA DE PREÇOS</w:t>
      </w:r>
      <w:r w:rsidRPr="00E4497A">
        <w:rPr>
          <w:rFonts w:ascii="Arial" w:hAnsi="Arial" w:cs="Arial"/>
        </w:rPr>
        <w:t xml:space="preserve">, do tipo </w:t>
      </w:r>
      <w:r w:rsidRPr="00E4497A">
        <w:rPr>
          <w:rFonts w:ascii="Arial" w:hAnsi="Arial" w:cs="Arial"/>
          <w:b/>
          <w:color w:val="000000"/>
          <w:shd w:val="clear" w:color="auto" w:fill="FFFFFF"/>
        </w:rPr>
        <w:t>menor preço</w:t>
      </w:r>
      <w:r w:rsidRPr="00E4497A">
        <w:rPr>
          <w:rFonts w:ascii="Arial" w:hAnsi="Arial" w:cs="Arial"/>
        </w:rPr>
        <w:t>, nos termos da Lei Federal nº 8.666/93 e da Lei Complementar nº 123/2006, bem como pelas condições específicas do</w:t>
      </w:r>
      <w:r w:rsidRPr="00E4497A">
        <w:rPr>
          <w:rFonts w:ascii="Arial" w:hAnsi="Arial" w:cs="Arial"/>
          <w:color w:val="FF420E"/>
        </w:rPr>
        <w:t xml:space="preserve"> </w:t>
      </w:r>
      <w:r w:rsidRPr="00E4497A">
        <w:rPr>
          <w:rFonts w:ascii="Arial" w:hAnsi="Arial" w:cs="Arial"/>
          <w:b/>
          <w:color w:val="000000"/>
        </w:rPr>
        <w:t>Anexo I</w:t>
      </w:r>
      <w:r w:rsidRPr="00E4497A">
        <w:rPr>
          <w:rFonts w:ascii="Arial" w:hAnsi="Arial" w:cs="Arial"/>
          <w:color w:val="FF420E"/>
        </w:rPr>
        <w:t xml:space="preserve"> </w:t>
      </w:r>
      <w:r w:rsidRPr="00E4497A">
        <w:rPr>
          <w:rFonts w:ascii="Arial" w:hAnsi="Arial" w:cs="Arial"/>
        </w:rPr>
        <w:t>dest</w:t>
      </w:r>
      <w:r w:rsidR="00F407C1">
        <w:rPr>
          <w:rFonts w:ascii="Arial" w:hAnsi="Arial" w:cs="Arial"/>
        </w:rPr>
        <w:t>a Tomada de Preços</w:t>
      </w:r>
      <w:r w:rsidRPr="00E4497A">
        <w:rPr>
          <w:rFonts w:ascii="Arial" w:hAnsi="Arial" w:cs="Arial"/>
        </w:rPr>
        <w:t xml:space="preserve">, em conformidade com a autorização constante do </w:t>
      </w:r>
      <w:r w:rsidRPr="00E4497A">
        <w:rPr>
          <w:rFonts w:ascii="Arial" w:hAnsi="Arial" w:cs="Arial"/>
          <w:b/>
        </w:rPr>
        <w:t>Processo nº 20120004700</w:t>
      </w:r>
      <w:r w:rsidR="00123BC0" w:rsidRPr="00E4497A">
        <w:rPr>
          <w:rFonts w:ascii="Arial" w:hAnsi="Arial" w:cs="Arial"/>
          <w:b/>
        </w:rPr>
        <w:t>0477</w:t>
      </w:r>
      <w:r w:rsidRPr="00E4497A">
        <w:rPr>
          <w:rFonts w:ascii="Arial" w:hAnsi="Arial" w:cs="Arial"/>
          <w:b/>
        </w:rPr>
        <w:t>/008-0</w:t>
      </w:r>
      <w:r w:rsidR="00123BC0" w:rsidRPr="00E4497A">
        <w:rPr>
          <w:rFonts w:ascii="Arial" w:hAnsi="Arial" w:cs="Arial"/>
          <w:b/>
        </w:rPr>
        <w:t>1</w:t>
      </w:r>
      <w:r w:rsidRPr="00E4497A">
        <w:rPr>
          <w:rFonts w:ascii="Arial" w:hAnsi="Arial" w:cs="Arial"/>
          <w:b/>
          <w:color w:val="000000"/>
        </w:rPr>
        <w:t>,</w:t>
      </w:r>
      <w:r w:rsidRPr="00E4497A">
        <w:rPr>
          <w:rFonts w:ascii="Arial" w:hAnsi="Arial" w:cs="Arial"/>
          <w:b/>
        </w:rPr>
        <w:t xml:space="preserve"> </w:t>
      </w:r>
      <w:r w:rsidRPr="00E4497A">
        <w:rPr>
          <w:rFonts w:ascii="Arial" w:eastAsia="Arial" w:hAnsi="Arial" w:cs="Arial"/>
        </w:rPr>
        <w:t>assim como as condições estabelecidas nos seguintes anexos que o integram:</w:t>
      </w:r>
    </w:p>
    <w:p w:rsidR="00475853" w:rsidRPr="00E4497A" w:rsidRDefault="00475853">
      <w:pPr>
        <w:pStyle w:val="Standard"/>
        <w:jc w:val="both"/>
        <w:rPr>
          <w:rFonts w:ascii="Arial" w:eastAsia="Arial" w:hAnsi="Arial" w:cs="Arial"/>
        </w:rPr>
      </w:pPr>
    </w:p>
    <w:p w:rsidR="00475853" w:rsidRPr="00E4497A" w:rsidRDefault="00475853">
      <w:pPr>
        <w:pStyle w:val="Standard"/>
        <w:jc w:val="both"/>
        <w:rPr>
          <w:rFonts w:ascii="Arial" w:eastAsia="Arial" w:hAnsi="Arial" w:cs="Arial"/>
        </w:rPr>
      </w:pPr>
    </w:p>
    <w:p w:rsidR="00F25417" w:rsidRPr="00E4497A" w:rsidRDefault="008B03B4" w:rsidP="00F25417">
      <w:pPr>
        <w:pStyle w:val="Standard"/>
        <w:suppressAutoHyphens w:val="0"/>
        <w:autoSpaceDE w:val="0"/>
        <w:rPr>
          <w:rFonts w:ascii="Arial" w:hAnsi="Arial" w:cs="Arial"/>
          <w:b/>
          <w:color w:val="000000"/>
        </w:rPr>
      </w:pPr>
      <w:r w:rsidRPr="00E4497A">
        <w:rPr>
          <w:rFonts w:ascii="Arial" w:hAnsi="Arial" w:cs="Arial"/>
          <w:b/>
          <w:color w:val="000000"/>
        </w:rPr>
        <w:t xml:space="preserve">a) ANEXO I – </w:t>
      </w:r>
      <w:r w:rsidR="00F25417" w:rsidRPr="00E4497A">
        <w:rPr>
          <w:rFonts w:ascii="Arial" w:hAnsi="Arial" w:cs="Arial"/>
          <w:b/>
          <w:color w:val="000000"/>
        </w:rPr>
        <w:t>TERMO DE REFERÊNCIA</w:t>
      </w:r>
    </w:p>
    <w:p w:rsidR="00F25417" w:rsidRPr="00E4497A" w:rsidRDefault="008B03B4" w:rsidP="00F25417">
      <w:pPr>
        <w:pStyle w:val="Standard"/>
        <w:suppressAutoHyphens w:val="0"/>
        <w:autoSpaceDE w:val="0"/>
        <w:rPr>
          <w:rFonts w:ascii="Arial" w:eastAsia="Times New Roman" w:hAnsi="Arial" w:cs="Arial"/>
          <w:b/>
          <w:color w:val="000000"/>
        </w:rPr>
      </w:pPr>
      <w:r w:rsidRPr="00E4497A">
        <w:rPr>
          <w:rFonts w:ascii="Arial" w:eastAsia="Times New Roman" w:hAnsi="Arial" w:cs="Arial"/>
          <w:b/>
          <w:color w:val="000000"/>
        </w:rPr>
        <w:t>b</w:t>
      </w:r>
      <w:r w:rsidR="00DB2D35" w:rsidRPr="00E4497A">
        <w:rPr>
          <w:rFonts w:ascii="Arial" w:eastAsia="Times New Roman" w:hAnsi="Arial" w:cs="Arial"/>
          <w:b/>
          <w:color w:val="000000"/>
        </w:rPr>
        <w:t>)</w:t>
      </w:r>
      <w:r w:rsidRPr="00E4497A">
        <w:rPr>
          <w:rFonts w:ascii="Arial" w:eastAsia="Times New Roman" w:hAnsi="Arial" w:cs="Arial"/>
          <w:b/>
          <w:color w:val="000000"/>
        </w:rPr>
        <w:t xml:space="preserve"> ANEXO II –</w:t>
      </w:r>
      <w:r w:rsidR="00F25417" w:rsidRPr="00E4497A">
        <w:rPr>
          <w:rFonts w:ascii="Arial" w:eastAsia="Times New Roman" w:hAnsi="Arial" w:cs="Arial"/>
          <w:b/>
          <w:color w:val="000000"/>
        </w:rPr>
        <w:t xml:space="preserve"> MEMORIAL DESCRITIVO/</w:t>
      </w:r>
      <w:r w:rsidR="00F25417" w:rsidRPr="00E4497A">
        <w:rPr>
          <w:rFonts w:ascii="Arial" w:hAnsi="Arial" w:cs="Arial"/>
          <w:b/>
          <w:color w:val="000000"/>
        </w:rPr>
        <w:t>ESPECIFICAÇÕES</w:t>
      </w:r>
    </w:p>
    <w:p w:rsidR="00F25417" w:rsidRPr="00E4497A" w:rsidRDefault="00F25417" w:rsidP="00F25417">
      <w:pPr>
        <w:pStyle w:val="Standard"/>
        <w:suppressAutoHyphens w:val="0"/>
        <w:autoSpaceDE w:val="0"/>
        <w:rPr>
          <w:rFonts w:ascii="Arial" w:eastAsia="ArialMT, Arial" w:hAnsi="Arial" w:cs="Arial"/>
          <w:b/>
          <w:color w:val="000000"/>
        </w:rPr>
      </w:pPr>
      <w:r w:rsidRPr="00E4497A">
        <w:rPr>
          <w:rFonts w:ascii="Arial" w:eastAsia="ArialMT, Arial" w:hAnsi="Arial" w:cs="Arial"/>
          <w:b/>
          <w:color w:val="000000"/>
        </w:rPr>
        <w:t>c</w:t>
      </w:r>
      <w:r w:rsidR="008B03B4" w:rsidRPr="00E4497A">
        <w:rPr>
          <w:rFonts w:ascii="Arial" w:eastAsia="ArialMT, Arial" w:hAnsi="Arial" w:cs="Arial"/>
          <w:b/>
          <w:color w:val="000000"/>
        </w:rPr>
        <w:t xml:space="preserve">) </w:t>
      </w:r>
      <w:r w:rsidR="008B03B4" w:rsidRPr="00E4497A">
        <w:rPr>
          <w:rFonts w:ascii="Arial" w:hAnsi="Arial" w:cs="Arial"/>
          <w:b/>
          <w:color w:val="000000"/>
        </w:rPr>
        <w:t>ANEXO I</w:t>
      </w:r>
      <w:r w:rsidR="00DB2D35" w:rsidRPr="00E4497A">
        <w:rPr>
          <w:rFonts w:ascii="Arial" w:hAnsi="Arial" w:cs="Arial"/>
          <w:b/>
          <w:color w:val="000000"/>
        </w:rPr>
        <w:t>II</w:t>
      </w:r>
      <w:r w:rsidR="008B03B4" w:rsidRPr="00E4497A">
        <w:rPr>
          <w:rFonts w:ascii="Arial" w:hAnsi="Arial" w:cs="Arial"/>
          <w:b/>
          <w:color w:val="000000"/>
        </w:rPr>
        <w:t xml:space="preserve"> –</w:t>
      </w:r>
      <w:r w:rsidR="008B03B4" w:rsidRPr="00E4497A">
        <w:rPr>
          <w:rFonts w:ascii="Arial" w:hAnsi="Arial" w:cs="Arial"/>
          <w:color w:val="000000"/>
        </w:rPr>
        <w:t xml:space="preserve"> </w:t>
      </w:r>
      <w:r w:rsidRPr="00E4497A">
        <w:rPr>
          <w:rFonts w:ascii="Arial" w:eastAsia="Times New Roman" w:hAnsi="Arial" w:cs="Arial"/>
          <w:b/>
          <w:color w:val="000000"/>
        </w:rPr>
        <w:t>PROJETOS DE ENGENHARIA</w:t>
      </w:r>
      <w:r w:rsidRPr="00E4497A">
        <w:rPr>
          <w:rFonts w:ascii="Arial" w:eastAsia="ArialMT, Arial" w:hAnsi="Arial" w:cs="Arial"/>
          <w:b/>
          <w:color w:val="000000"/>
        </w:rPr>
        <w:t xml:space="preserve"> </w:t>
      </w:r>
    </w:p>
    <w:p w:rsidR="00F25417" w:rsidRPr="00E4497A" w:rsidRDefault="00F25417" w:rsidP="00F25417">
      <w:pPr>
        <w:pStyle w:val="Standard"/>
        <w:suppressAutoHyphens w:val="0"/>
        <w:autoSpaceDE w:val="0"/>
        <w:rPr>
          <w:rFonts w:ascii="Arial" w:hAnsi="Arial" w:cs="Arial"/>
          <w:b/>
          <w:color w:val="000000"/>
        </w:rPr>
      </w:pPr>
      <w:r w:rsidRPr="00E4497A">
        <w:rPr>
          <w:rFonts w:ascii="Arial" w:eastAsia="ArialMT, Arial" w:hAnsi="Arial" w:cs="Arial"/>
          <w:b/>
          <w:color w:val="000000"/>
        </w:rPr>
        <w:t xml:space="preserve">d) </w:t>
      </w:r>
      <w:proofErr w:type="gramStart"/>
      <w:r w:rsidRPr="00E4497A">
        <w:rPr>
          <w:rFonts w:ascii="Arial" w:eastAsia="ArialMT, Arial" w:hAnsi="Arial" w:cs="Arial"/>
          <w:b/>
          <w:color w:val="000000"/>
        </w:rPr>
        <w:t>ANEXO IV - MINUTA</w:t>
      </w:r>
      <w:proofErr w:type="gramEnd"/>
      <w:r w:rsidRPr="00E4497A">
        <w:rPr>
          <w:rFonts w:ascii="Arial" w:eastAsia="ArialMT, Arial" w:hAnsi="Arial" w:cs="Arial"/>
          <w:b/>
          <w:color w:val="000000"/>
        </w:rPr>
        <w:t xml:space="preserve"> DO CONTRATO</w:t>
      </w:r>
    </w:p>
    <w:p w:rsidR="00F25417" w:rsidRPr="00E4497A" w:rsidRDefault="00F25417">
      <w:pPr>
        <w:pStyle w:val="Standard"/>
        <w:tabs>
          <w:tab w:val="left" w:pos="0"/>
        </w:tabs>
        <w:suppressAutoHyphens w:val="0"/>
        <w:autoSpaceDE w:val="0"/>
        <w:rPr>
          <w:rFonts w:ascii="Arial" w:hAnsi="Arial" w:cs="Arial"/>
          <w:b/>
          <w:color w:val="000000"/>
        </w:rPr>
      </w:pPr>
      <w:r w:rsidRPr="00E4497A">
        <w:rPr>
          <w:rFonts w:ascii="Arial" w:eastAsia="ArialMT" w:hAnsi="Arial" w:cs="Arial"/>
          <w:b/>
          <w:bCs/>
          <w:color w:val="000000"/>
        </w:rPr>
        <w:t xml:space="preserve">e) </w:t>
      </w:r>
      <w:r w:rsidRPr="00E4497A">
        <w:rPr>
          <w:rFonts w:ascii="Arial" w:hAnsi="Arial" w:cs="Arial"/>
          <w:b/>
          <w:bCs/>
        </w:rPr>
        <w:t>ANEXO V – ORÇAMENTO/CRONOGRAMA FÍSICO FINANCEIRO</w:t>
      </w:r>
    </w:p>
    <w:p w:rsidR="00475853" w:rsidRPr="00E4497A" w:rsidRDefault="00F25417">
      <w:pPr>
        <w:pStyle w:val="Standard"/>
        <w:tabs>
          <w:tab w:val="left" w:pos="0"/>
        </w:tabs>
        <w:suppressAutoHyphens w:val="0"/>
        <w:autoSpaceDE w:val="0"/>
        <w:rPr>
          <w:rFonts w:ascii="Arial" w:hAnsi="Arial" w:cs="Arial"/>
          <w:b/>
          <w:color w:val="000000"/>
        </w:rPr>
      </w:pPr>
      <w:r w:rsidRPr="00E4497A">
        <w:rPr>
          <w:rFonts w:ascii="Arial" w:hAnsi="Arial" w:cs="Arial"/>
          <w:b/>
          <w:color w:val="000000"/>
        </w:rPr>
        <w:t>f</w:t>
      </w:r>
      <w:r w:rsidR="008B03B4" w:rsidRPr="00E4497A">
        <w:rPr>
          <w:rFonts w:ascii="Arial" w:hAnsi="Arial" w:cs="Arial"/>
          <w:b/>
          <w:color w:val="000000"/>
        </w:rPr>
        <w:t>) ANEXO V</w:t>
      </w:r>
      <w:r w:rsidRPr="00E4497A">
        <w:rPr>
          <w:rFonts w:ascii="Arial" w:hAnsi="Arial" w:cs="Arial"/>
          <w:b/>
          <w:color w:val="000000"/>
        </w:rPr>
        <w:t>I</w:t>
      </w:r>
      <w:r w:rsidR="008B03B4" w:rsidRPr="00E4497A">
        <w:rPr>
          <w:rFonts w:ascii="Arial" w:hAnsi="Arial" w:cs="Arial"/>
          <w:b/>
          <w:color w:val="000000"/>
        </w:rPr>
        <w:t xml:space="preserve"> – DECLARAÇÕES</w:t>
      </w:r>
    </w:p>
    <w:p w:rsidR="00475853" w:rsidRPr="00E4497A" w:rsidRDefault="00F25417">
      <w:pPr>
        <w:pStyle w:val="Standard"/>
        <w:tabs>
          <w:tab w:val="left" w:pos="0"/>
        </w:tabs>
        <w:suppressAutoHyphens w:val="0"/>
        <w:autoSpaceDE w:val="0"/>
        <w:rPr>
          <w:rFonts w:ascii="Arial" w:hAnsi="Arial" w:cs="Arial"/>
          <w:b/>
          <w:color w:val="000000"/>
        </w:rPr>
      </w:pPr>
      <w:r w:rsidRPr="00E4497A">
        <w:rPr>
          <w:rFonts w:ascii="Arial" w:hAnsi="Arial" w:cs="Arial"/>
          <w:b/>
          <w:color w:val="000000"/>
        </w:rPr>
        <w:t>g)</w:t>
      </w:r>
      <w:r w:rsidR="008B03B4" w:rsidRPr="00E4497A">
        <w:rPr>
          <w:rFonts w:ascii="Arial" w:hAnsi="Arial" w:cs="Arial"/>
          <w:b/>
          <w:color w:val="000000"/>
        </w:rPr>
        <w:t xml:space="preserve"> ANEXO V</w:t>
      </w:r>
      <w:r w:rsidRPr="00E4497A">
        <w:rPr>
          <w:rFonts w:ascii="Arial" w:hAnsi="Arial" w:cs="Arial"/>
          <w:b/>
          <w:color w:val="000000"/>
        </w:rPr>
        <w:t>II</w:t>
      </w:r>
      <w:r w:rsidR="008B03B4" w:rsidRPr="00E4497A">
        <w:rPr>
          <w:rFonts w:ascii="Arial" w:hAnsi="Arial" w:cs="Arial"/>
          <w:b/>
          <w:color w:val="000000"/>
        </w:rPr>
        <w:t xml:space="preserve"> – TERMO DE RENÚNCIA</w:t>
      </w:r>
      <w:proofErr w:type="gramStart"/>
      <w:r w:rsidR="008B03B4" w:rsidRPr="00E4497A">
        <w:rPr>
          <w:rFonts w:ascii="Arial" w:hAnsi="Arial" w:cs="Arial"/>
          <w:b/>
          <w:color w:val="000000"/>
        </w:rPr>
        <w:t xml:space="preserve"> </w:t>
      </w:r>
      <w:r w:rsidR="00DB3140">
        <w:rPr>
          <w:rFonts w:ascii="Arial" w:hAnsi="Arial" w:cs="Arial"/>
          <w:b/>
          <w:color w:val="000000"/>
        </w:rPr>
        <w:t xml:space="preserve"> </w:t>
      </w:r>
      <w:proofErr w:type="gramEnd"/>
      <w:r w:rsidR="008B03B4" w:rsidRPr="00E4497A">
        <w:rPr>
          <w:rFonts w:ascii="Arial" w:hAnsi="Arial" w:cs="Arial"/>
          <w:b/>
          <w:color w:val="000000"/>
        </w:rPr>
        <w:t>AO DIREITO DE INTERPOR RECURSO</w:t>
      </w:r>
    </w:p>
    <w:p w:rsidR="00475853" w:rsidRPr="00E4497A" w:rsidRDefault="00475853">
      <w:pPr>
        <w:pStyle w:val="Standard"/>
        <w:tabs>
          <w:tab w:val="left" w:pos="0"/>
        </w:tabs>
        <w:suppressAutoHyphens w:val="0"/>
        <w:autoSpaceDE w:val="0"/>
        <w:rPr>
          <w:rFonts w:ascii="Arial" w:hAnsi="Arial" w:cs="Arial"/>
          <w:b/>
          <w:color w:val="000000"/>
        </w:rPr>
      </w:pPr>
    </w:p>
    <w:p w:rsidR="00475853" w:rsidRPr="00E4497A" w:rsidRDefault="00475853">
      <w:pPr>
        <w:pStyle w:val="Ttulo9"/>
        <w:numPr>
          <w:ilvl w:val="8"/>
          <w:numId w:val="2"/>
        </w:numPr>
        <w:tabs>
          <w:tab w:val="left" w:pos="0"/>
        </w:tabs>
        <w:suppressAutoHyphens w:val="0"/>
        <w:autoSpaceDE w:val="0"/>
        <w:rPr>
          <w:rFonts w:eastAsia="ArialMT, Arial" w:cs="Arial"/>
          <w:color w:val="000000"/>
        </w:rPr>
      </w:pPr>
    </w:p>
    <w:p w:rsidR="00475853" w:rsidRPr="00E4497A" w:rsidRDefault="008B03B4">
      <w:pPr>
        <w:pStyle w:val="Ttulo4"/>
        <w:tabs>
          <w:tab w:val="left" w:pos="0"/>
        </w:tabs>
        <w:jc w:val="both"/>
        <w:rPr>
          <w:rFonts w:ascii="Arial" w:hAnsi="Arial" w:cs="Arial"/>
          <w:sz w:val="24"/>
        </w:rPr>
      </w:pPr>
      <w:r w:rsidRPr="00E4497A">
        <w:rPr>
          <w:rFonts w:ascii="Arial" w:eastAsia="Arial" w:hAnsi="Arial" w:cs="Arial"/>
          <w:b/>
          <w:color w:val="000000"/>
          <w:sz w:val="24"/>
        </w:rPr>
        <w:t xml:space="preserve">LOCAL DE REALIZAÇÃO DA LICITAÇÃO: </w:t>
      </w:r>
      <w:r w:rsidRPr="00E4497A">
        <w:rPr>
          <w:rFonts w:ascii="Arial" w:hAnsi="Arial" w:cs="Arial"/>
          <w:b/>
          <w:color w:val="000000"/>
          <w:sz w:val="24"/>
        </w:rPr>
        <w:t>Praça Pedro Ludovico Teixeira nº 332, Centro, Goiânia – Goiás, Edifício sede do Tribunal de Contas do Estado de Goiás, Anexo, 1º andar, Sala dos Conselheiros Aposentados do TCE-GO</w:t>
      </w:r>
      <w:r w:rsidRPr="00E4497A">
        <w:rPr>
          <w:rFonts w:ascii="Arial" w:eastAsia="Arial" w:hAnsi="Arial" w:cs="Arial"/>
          <w:b/>
          <w:color w:val="000000"/>
          <w:sz w:val="24"/>
        </w:rPr>
        <w:t>.</w:t>
      </w:r>
    </w:p>
    <w:p w:rsidR="00475853" w:rsidRPr="00E4497A" w:rsidRDefault="00475853">
      <w:pPr>
        <w:pStyle w:val="Standard"/>
        <w:tabs>
          <w:tab w:val="left" w:pos="0"/>
        </w:tabs>
        <w:jc w:val="both"/>
        <w:rPr>
          <w:rFonts w:ascii="Arial" w:eastAsia="Arial" w:hAnsi="Arial" w:cs="Arial"/>
          <w:b/>
          <w:color w:val="000000"/>
        </w:rPr>
      </w:pPr>
    </w:p>
    <w:p w:rsidR="00475853" w:rsidRPr="00E4497A" w:rsidRDefault="00475853">
      <w:pPr>
        <w:pStyle w:val="Standard"/>
        <w:autoSpaceDE w:val="0"/>
        <w:rPr>
          <w:rFonts w:ascii="Arial" w:eastAsia="Arial" w:hAnsi="Arial" w:cs="Arial"/>
          <w:b/>
          <w:color w:val="000000"/>
        </w:rPr>
      </w:pPr>
    </w:p>
    <w:p w:rsidR="00475853" w:rsidRPr="00E4497A" w:rsidRDefault="00475853">
      <w:pPr>
        <w:pStyle w:val="Standard"/>
        <w:pBdr>
          <w:top w:val="single" w:sz="8" w:space="1" w:color="000000"/>
          <w:left w:val="single" w:sz="8" w:space="4" w:color="000000"/>
          <w:bottom w:val="single" w:sz="8" w:space="1" w:color="000000"/>
          <w:right w:val="single" w:sz="8" w:space="4" w:color="000000"/>
        </w:pBdr>
        <w:shd w:val="clear" w:color="auto" w:fill="C0C0C0"/>
        <w:autoSpaceDE w:val="0"/>
        <w:jc w:val="center"/>
        <w:rPr>
          <w:rFonts w:ascii="Arial" w:eastAsia="Arial" w:hAnsi="Arial" w:cs="Arial"/>
          <w:b/>
          <w:color w:val="000000"/>
        </w:rPr>
      </w:pPr>
    </w:p>
    <w:p w:rsidR="00475853" w:rsidRPr="00E4497A" w:rsidRDefault="008B03B4">
      <w:pPr>
        <w:pStyle w:val="Standard"/>
        <w:pBdr>
          <w:top w:val="single" w:sz="8" w:space="1" w:color="000000"/>
          <w:left w:val="single" w:sz="8" w:space="4" w:color="000000"/>
          <w:bottom w:val="single" w:sz="8" w:space="1" w:color="000000"/>
          <w:right w:val="single" w:sz="8" w:space="4" w:color="000000"/>
        </w:pBdr>
        <w:shd w:val="clear" w:color="auto" w:fill="C0C0C0"/>
        <w:autoSpaceDE w:val="0"/>
        <w:jc w:val="center"/>
        <w:rPr>
          <w:rFonts w:ascii="Arial" w:eastAsia="Arial" w:hAnsi="Arial" w:cs="Arial"/>
          <w:b/>
          <w:color w:val="000000"/>
        </w:rPr>
      </w:pPr>
      <w:r w:rsidRPr="00E4497A">
        <w:rPr>
          <w:rFonts w:ascii="Arial" w:eastAsia="Arial" w:hAnsi="Arial" w:cs="Arial"/>
          <w:b/>
          <w:color w:val="000000"/>
        </w:rPr>
        <w:t xml:space="preserve">DATA: </w:t>
      </w:r>
      <w:r w:rsidR="00F407C1">
        <w:rPr>
          <w:rFonts w:ascii="Arial" w:eastAsia="Arial" w:hAnsi="Arial" w:cs="Arial"/>
          <w:b/>
          <w:color w:val="000000"/>
        </w:rPr>
        <w:t>18</w:t>
      </w:r>
      <w:r w:rsidRPr="00E4497A">
        <w:rPr>
          <w:rFonts w:ascii="Arial" w:eastAsia="Arial" w:hAnsi="Arial" w:cs="Arial"/>
          <w:b/>
          <w:color w:val="000000"/>
        </w:rPr>
        <w:t>/</w:t>
      </w:r>
      <w:r w:rsidR="00F407C1">
        <w:rPr>
          <w:rFonts w:ascii="Arial" w:eastAsia="Arial" w:hAnsi="Arial" w:cs="Arial"/>
          <w:b/>
          <w:color w:val="000000"/>
        </w:rPr>
        <w:t>09</w:t>
      </w:r>
      <w:r w:rsidRPr="00E4497A">
        <w:rPr>
          <w:rFonts w:ascii="Arial" w:eastAsia="Arial" w:hAnsi="Arial" w:cs="Arial"/>
          <w:b/>
          <w:color w:val="000000"/>
        </w:rPr>
        <w:t>/2012</w:t>
      </w:r>
    </w:p>
    <w:p w:rsidR="00475853" w:rsidRPr="00E4497A" w:rsidRDefault="008B03B4">
      <w:pPr>
        <w:pStyle w:val="Standard"/>
        <w:pBdr>
          <w:top w:val="single" w:sz="8" w:space="1" w:color="000000"/>
          <w:left w:val="single" w:sz="8" w:space="4" w:color="000000"/>
          <w:bottom w:val="single" w:sz="8" w:space="1" w:color="000000"/>
          <w:right w:val="single" w:sz="8" w:space="4" w:color="000000"/>
        </w:pBdr>
        <w:shd w:val="clear" w:color="auto" w:fill="C0C0C0"/>
        <w:autoSpaceDE w:val="0"/>
        <w:jc w:val="center"/>
        <w:rPr>
          <w:rFonts w:ascii="Arial" w:eastAsia="Arial" w:hAnsi="Arial" w:cs="Arial"/>
          <w:b/>
          <w:color w:val="000000"/>
        </w:rPr>
      </w:pPr>
      <w:r w:rsidRPr="00E4497A">
        <w:rPr>
          <w:rFonts w:ascii="Arial" w:eastAsia="Arial" w:hAnsi="Arial" w:cs="Arial"/>
          <w:b/>
          <w:color w:val="000000"/>
        </w:rPr>
        <w:t xml:space="preserve">HORÁRIO: </w:t>
      </w:r>
      <w:proofErr w:type="gramStart"/>
      <w:r w:rsidR="00F407C1">
        <w:rPr>
          <w:rFonts w:ascii="Arial" w:eastAsia="Arial" w:hAnsi="Arial" w:cs="Arial"/>
          <w:b/>
          <w:color w:val="000000"/>
        </w:rPr>
        <w:t>14</w:t>
      </w:r>
      <w:r w:rsidRPr="00E4497A">
        <w:rPr>
          <w:rFonts w:ascii="Arial" w:eastAsia="Arial" w:hAnsi="Arial" w:cs="Arial"/>
          <w:b/>
          <w:color w:val="000000"/>
        </w:rPr>
        <w:t>:</w:t>
      </w:r>
      <w:r w:rsidR="00F407C1">
        <w:rPr>
          <w:rFonts w:ascii="Arial" w:eastAsia="Arial" w:hAnsi="Arial" w:cs="Arial"/>
          <w:b/>
          <w:color w:val="000000"/>
        </w:rPr>
        <w:t>00</w:t>
      </w:r>
      <w:proofErr w:type="gramEnd"/>
    </w:p>
    <w:p w:rsidR="00475853" w:rsidRPr="00E4497A" w:rsidRDefault="00475853">
      <w:pPr>
        <w:pStyle w:val="Standard"/>
        <w:pBdr>
          <w:top w:val="single" w:sz="8" w:space="1" w:color="000000"/>
          <w:left w:val="single" w:sz="8" w:space="4" w:color="000000"/>
          <w:bottom w:val="single" w:sz="8" w:space="1" w:color="000000"/>
          <w:right w:val="single" w:sz="8" w:space="4" w:color="000000"/>
        </w:pBdr>
        <w:shd w:val="clear" w:color="auto" w:fill="C0C0C0"/>
        <w:autoSpaceDE w:val="0"/>
        <w:jc w:val="center"/>
        <w:rPr>
          <w:rFonts w:ascii="Arial" w:eastAsia="Arial" w:hAnsi="Arial" w:cs="Arial"/>
          <w:b/>
          <w:color w:val="FF420E"/>
        </w:rPr>
      </w:pPr>
    </w:p>
    <w:p w:rsidR="00475853" w:rsidRPr="00E4497A" w:rsidRDefault="00475853">
      <w:pPr>
        <w:pStyle w:val="Textopr-formatado"/>
        <w:autoSpaceDE w:val="0"/>
        <w:jc w:val="both"/>
        <w:rPr>
          <w:rFonts w:ascii="Arial" w:hAnsi="Arial" w:cs="Arial"/>
          <w:color w:val="000000"/>
          <w:sz w:val="24"/>
          <w:szCs w:val="24"/>
        </w:rPr>
      </w:pPr>
    </w:p>
    <w:p w:rsidR="00475853" w:rsidRPr="00E4497A" w:rsidRDefault="00475853">
      <w:pPr>
        <w:pStyle w:val="Textopr-formatado"/>
        <w:jc w:val="both"/>
        <w:rPr>
          <w:rFonts w:ascii="Arial" w:hAnsi="Arial" w:cs="Arial"/>
          <w:color w:val="000000"/>
          <w:sz w:val="24"/>
          <w:szCs w:val="24"/>
        </w:rPr>
      </w:pPr>
    </w:p>
    <w:p w:rsidR="00475853" w:rsidRPr="00E4497A" w:rsidRDefault="008B03B4">
      <w:pPr>
        <w:pStyle w:val="Textopr-formatado"/>
        <w:jc w:val="both"/>
        <w:rPr>
          <w:rFonts w:ascii="Arial" w:hAnsi="Arial" w:cs="Arial"/>
          <w:sz w:val="24"/>
          <w:szCs w:val="24"/>
        </w:rPr>
      </w:pPr>
      <w:r w:rsidRPr="00E4497A">
        <w:rPr>
          <w:rFonts w:ascii="Arial" w:eastAsia="ArialMT, Arial" w:hAnsi="Arial" w:cs="Arial"/>
          <w:color w:val="000000"/>
          <w:sz w:val="24"/>
          <w:szCs w:val="24"/>
        </w:rPr>
        <w:t xml:space="preserve">O edital e as informações complementares poderão ser </w:t>
      </w:r>
      <w:proofErr w:type="gramStart"/>
      <w:r w:rsidRPr="00E4497A">
        <w:rPr>
          <w:rFonts w:ascii="Arial" w:eastAsia="ArialMT, Arial" w:hAnsi="Arial" w:cs="Arial"/>
          <w:color w:val="000000"/>
          <w:sz w:val="24"/>
          <w:szCs w:val="24"/>
        </w:rPr>
        <w:t>obtidas</w:t>
      </w:r>
      <w:proofErr w:type="gramEnd"/>
      <w:r w:rsidRPr="00E4497A">
        <w:rPr>
          <w:rFonts w:ascii="Arial" w:eastAsia="ArialMT, Arial" w:hAnsi="Arial" w:cs="Arial"/>
          <w:color w:val="000000"/>
          <w:sz w:val="24"/>
          <w:szCs w:val="24"/>
        </w:rPr>
        <w:t xml:space="preserve"> pela internet no site: </w:t>
      </w:r>
      <w:hyperlink r:id="rId8" w:history="1">
        <w:r w:rsidRPr="00E4497A">
          <w:rPr>
            <w:rStyle w:val="Internetlink"/>
            <w:rFonts w:ascii="Arial" w:hAnsi="Arial" w:cs="Arial"/>
            <w:sz w:val="24"/>
            <w:szCs w:val="24"/>
          </w:rPr>
          <w:t>www.tce.go.gov.br</w:t>
        </w:r>
      </w:hyperlink>
      <w:r w:rsidRPr="00E4497A">
        <w:rPr>
          <w:rFonts w:ascii="Arial" w:eastAsia="ArialMT, Arial" w:hAnsi="Arial" w:cs="Arial"/>
          <w:color w:val="000000"/>
          <w:sz w:val="24"/>
          <w:szCs w:val="24"/>
        </w:rPr>
        <w:t xml:space="preserve">, pelo e-mail: </w:t>
      </w:r>
      <w:r w:rsidRPr="00E4497A">
        <w:rPr>
          <w:rFonts w:ascii="Arial" w:eastAsia="ArialMT, Arial" w:hAnsi="Arial" w:cs="Arial"/>
          <w:i/>
          <w:color w:val="000000"/>
          <w:sz w:val="24"/>
          <w:szCs w:val="24"/>
        </w:rPr>
        <w:t>cpl@tce.go.gov.br</w:t>
      </w:r>
      <w:r w:rsidRPr="00E4497A">
        <w:rPr>
          <w:rFonts w:ascii="Arial" w:eastAsia="ArialMT, Arial" w:hAnsi="Arial" w:cs="Arial"/>
          <w:color w:val="000000"/>
          <w:sz w:val="24"/>
          <w:szCs w:val="24"/>
        </w:rPr>
        <w:t>,</w:t>
      </w:r>
      <w:r w:rsidRPr="00E4497A">
        <w:rPr>
          <w:rFonts w:ascii="Arial" w:eastAsia="ArialMT, Arial" w:hAnsi="Arial" w:cs="Arial"/>
          <w:i/>
          <w:color w:val="000000"/>
          <w:sz w:val="24"/>
          <w:szCs w:val="24"/>
        </w:rPr>
        <w:t xml:space="preserve"> </w:t>
      </w:r>
      <w:r w:rsidRPr="00E4497A">
        <w:rPr>
          <w:rFonts w:ascii="Arial" w:eastAsia="ArialMT, Arial" w:hAnsi="Arial" w:cs="Arial"/>
          <w:color w:val="000000"/>
          <w:sz w:val="24"/>
          <w:szCs w:val="24"/>
        </w:rPr>
        <w:t>ou junto ao presidente da comissão de licitação e/ou equipe de apoio no endereço ou telefones indicados no preâmbulo deste edital.</w:t>
      </w:r>
    </w:p>
    <w:p w:rsidR="00475853" w:rsidRPr="00E4497A" w:rsidRDefault="00475853">
      <w:pPr>
        <w:pStyle w:val="Textopr-formatado"/>
        <w:jc w:val="both"/>
        <w:rPr>
          <w:rFonts w:ascii="Arial" w:hAnsi="Arial" w:cs="Arial"/>
          <w:sz w:val="24"/>
          <w:szCs w:val="24"/>
        </w:rPr>
      </w:pPr>
    </w:p>
    <w:p w:rsidR="00475853" w:rsidRPr="00E4497A" w:rsidRDefault="00475853">
      <w:pPr>
        <w:pStyle w:val="Textopr-formatado"/>
        <w:jc w:val="both"/>
        <w:rPr>
          <w:rFonts w:ascii="Arial" w:hAnsi="Arial" w:cs="Arial"/>
          <w:sz w:val="24"/>
          <w:szCs w:val="24"/>
        </w:rPr>
      </w:pPr>
    </w:p>
    <w:p w:rsidR="00475853" w:rsidRPr="00E4497A" w:rsidRDefault="00C20671" w:rsidP="00C20671">
      <w:pPr>
        <w:pStyle w:val="Standard"/>
        <w:jc w:val="center"/>
        <w:rPr>
          <w:rFonts w:ascii="Arial" w:hAnsi="Arial" w:cs="Arial"/>
          <w:b/>
        </w:rPr>
      </w:pPr>
      <w:r w:rsidRPr="00E4497A">
        <w:rPr>
          <w:rFonts w:ascii="Arial" w:hAnsi="Arial" w:cs="Arial"/>
          <w:b/>
        </w:rPr>
        <w:t xml:space="preserve">DO </w:t>
      </w:r>
      <w:r w:rsidR="008B03B4" w:rsidRPr="00E4497A">
        <w:rPr>
          <w:rFonts w:ascii="Arial" w:hAnsi="Arial" w:cs="Arial"/>
          <w:b/>
        </w:rPr>
        <w:t>OBJETO</w:t>
      </w:r>
    </w:p>
    <w:p w:rsidR="00475853" w:rsidRPr="00E4497A" w:rsidRDefault="00475853">
      <w:pPr>
        <w:pStyle w:val="Standard"/>
        <w:jc w:val="both"/>
        <w:rPr>
          <w:rFonts w:ascii="Arial" w:hAnsi="Arial" w:cs="Arial"/>
        </w:rPr>
      </w:pPr>
    </w:p>
    <w:p w:rsidR="00475853" w:rsidRPr="00E4497A" w:rsidRDefault="00C20671">
      <w:pPr>
        <w:pStyle w:val="Standard"/>
        <w:jc w:val="both"/>
        <w:rPr>
          <w:rFonts w:ascii="Arial" w:hAnsi="Arial" w:cs="Arial"/>
        </w:rPr>
      </w:pPr>
      <w:r w:rsidRPr="00E4497A">
        <w:rPr>
          <w:rFonts w:ascii="Arial" w:hAnsi="Arial" w:cs="Arial"/>
          <w:b/>
        </w:rPr>
        <w:t>1</w:t>
      </w:r>
      <w:r w:rsidRPr="00E4497A">
        <w:rPr>
          <w:rFonts w:ascii="Arial" w:hAnsi="Arial" w:cs="Arial"/>
        </w:rPr>
        <w:t xml:space="preserve">. </w:t>
      </w:r>
      <w:r w:rsidR="008B03B4" w:rsidRPr="00E4497A">
        <w:rPr>
          <w:rFonts w:ascii="Arial" w:hAnsi="Arial" w:cs="Arial"/>
        </w:rPr>
        <w:t xml:space="preserve">A licitação em epígrafe, regida pela Lei Federal nº 8.666/93 e alterações posteriores tem por objeto a seleção da proposta mais vantajosa para </w:t>
      </w:r>
      <w:r w:rsidR="00F25417" w:rsidRPr="00E4497A">
        <w:rPr>
          <w:rFonts w:ascii="Arial" w:hAnsi="Arial" w:cs="Arial"/>
        </w:rPr>
        <w:t>realização de serviços de reforma do Edifício sede do Tribunal de Contas do Estado, abrangendo a cobertura dos blocos A, B e C</w:t>
      </w:r>
      <w:r w:rsidR="00381D48" w:rsidRPr="00E4497A">
        <w:rPr>
          <w:rFonts w:ascii="Arial" w:hAnsi="Arial" w:cs="Arial"/>
        </w:rPr>
        <w:t xml:space="preserve"> e adequação e instalação do controle de acesso de veículos</w:t>
      </w:r>
      <w:r w:rsidR="008B03B4" w:rsidRPr="00E4497A">
        <w:rPr>
          <w:rFonts w:ascii="Arial" w:hAnsi="Arial" w:cs="Arial"/>
        </w:rPr>
        <w:t xml:space="preserve">, </w:t>
      </w:r>
      <w:r w:rsidR="008B03B4" w:rsidRPr="00E4497A">
        <w:rPr>
          <w:rFonts w:ascii="Arial" w:hAnsi="Arial" w:cs="Arial"/>
          <w:color w:val="000000"/>
        </w:rPr>
        <w:t>conforme especificado e quantificado no</w:t>
      </w:r>
      <w:r w:rsidR="00381D48" w:rsidRPr="00E4497A">
        <w:rPr>
          <w:rFonts w:ascii="Arial" w:hAnsi="Arial" w:cs="Arial"/>
          <w:color w:val="000000"/>
        </w:rPr>
        <w:t>s</w:t>
      </w:r>
      <w:r w:rsidR="008B03B4" w:rsidRPr="00E4497A">
        <w:rPr>
          <w:rFonts w:ascii="Arial" w:hAnsi="Arial" w:cs="Arial"/>
          <w:color w:val="000000"/>
        </w:rPr>
        <w:t xml:space="preserve"> </w:t>
      </w:r>
      <w:r w:rsidR="008B03B4" w:rsidRPr="00E4497A">
        <w:rPr>
          <w:rFonts w:ascii="Arial" w:hAnsi="Arial" w:cs="Arial"/>
          <w:b/>
          <w:color w:val="000000"/>
        </w:rPr>
        <w:t>Anexo I</w:t>
      </w:r>
      <w:r w:rsidR="00381D48" w:rsidRPr="00E4497A">
        <w:rPr>
          <w:rFonts w:ascii="Arial" w:hAnsi="Arial" w:cs="Arial"/>
          <w:b/>
          <w:color w:val="000000"/>
        </w:rPr>
        <w:t>, II e III</w:t>
      </w:r>
      <w:r w:rsidR="008B03B4" w:rsidRPr="00E4497A">
        <w:rPr>
          <w:rFonts w:ascii="Arial" w:hAnsi="Arial" w:cs="Arial"/>
          <w:color w:val="000000"/>
        </w:rPr>
        <w:t>, parte</w:t>
      </w:r>
      <w:r w:rsidR="00381D48" w:rsidRPr="00E4497A">
        <w:rPr>
          <w:rFonts w:ascii="Arial" w:hAnsi="Arial" w:cs="Arial"/>
          <w:color w:val="000000"/>
        </w:rPr>
        <w:t>s</w:t>
      </w:r>
      <w:r w:rsidR="008B03B4" w:rsidRPr="00E4497A">
        <w:rPr>
          <w:rFonts w:ascii="Arial" w:hAnsi="Arial" w:cs="Arial"/>
          <w:color w:val="000000"/>
        </w:rPr>
        <w:t xml:space="preserve"> integrante</w:t>
      </w:r>
      <w:r w:rsidR="00381D48" w:rsidRPr="00E4497A">
        <w:rPr>
          <w:rFonts w:ascii="Arial" w:hAnsi="Arial" w:cs="Arial"/>
          <w:color w:val="000000"/>
        </w:rPr>
        <w:t>s</w:t>
      </w:r>
      <w:r w:rsidR="008B03B4" w:rsidRPr="00E4497A">
        <w:rPr>
          <w:rFonts w:ascii="Arial" w:hAnsi="Arial" w:cs="Arial"/>
          <w:color w:val="000000"/>
        </w:rPr>
        <w:t xml:space="preserve"> deste Edital.</w:t>
      </w:r>
    </w:p>
    <w:p w:rsidR="00475853" w:rsidRPr="00E4497A" w:rsidRDefault="00475853">
      <w:pPr>
        <w:pStyle w:val="Standard"/>
        <w:jc w:val="both"/>
        <w:rPr>
          <w:rFonts w:ascii="Arial" w:hAnsi="Arial" w:cs="Arial"/>
        </w:rPr>
      </w:pPr>
    </w:p>
    <w:p w:rsidR="00475853" w:rsidRPr="00E4497A" w:rsidRDefault="00475853">
      <w:pPr>
        <w:pStyle w:val="Standard"/>
        <w:jc w:val="both"/>
        <w:rPr>
          <w:rFonts w:ascii="Arial" w:hAnsi="Arial" w:cs="Arial"/>
          <w:b/>
        </w:rPr>
      </w:pPr>
    </w:p>
    <w:p w:rsidR="00807887" w:rsidRPr="00E4497A" w:rsidRDefault="00807887" w:rsidP="00C20671">
      <w:pPr>
        <w:pStyle w:val="Default"/>
        <w:jc w:val="center"/>
        <w:rPr>
          <w:color w:val="auto"/>
        </w:rPr>
      </w:pPr>
      <w:r w:rsidRPr="00E4497A">
        <w:rPr>
          <w:b/>
          <w:bCs/>
          <w:color w:val="auto"/>
        </w:rPr>
        <w:t>DOS IMPEDIMENTOS À PARTICIPAÇÃO</w:t>
      </w:r>
    </w:p>
    <w:p w:rsidR="00807887" w:rsidRPr="00E4497A" w:rsidRDefault="00807887" w:rsidP="00807887">
      <w:pPr>
        <w:pStyle w:val="Default"/>
        <w:rPr>
          <w:b/>
          <w:bCs/>
          <w:color w:val="auto"/>
        </w:rPr>
      </w:pPr>
    </w:p>
    <w:p w:rsidR="00807887" w:rsidRPr="00E4497A" w:rsidRDefault="00C20671" w:rsidP="00807887">
      <w:pPr>
        <w:pStyle w:val="Default"/>
        <w:jc w:val="both"/>
        <w:rPr>
          <w:color w:val="auto"/>
        </w:rPr>
      </w:pPr>
      <w:r w:rsidRPr="00E4497A">
        <w:rPr>
          <w:b/>
          <w:color w:val="auto"/>
        </w:rPr>
        <w:t>2</w:t>
      </w:r>
      <w:r w:rsidRPr="00E4497A">
        <w:rPr>
          <w:color w:val="auto"/>
        </w:rPr>
        <w:t xml:space="preserve">. </w:t>
      </w:r>
      <w:r w:rsidR="00807887" w:rsidRPr="00E4497A">
        <w:rPr>
          <w:color w:val="auto"/>
        </w:rPr>
        <w:t>Estarão impedidas de participar de qualquer fase deste procedimento licitatório, pess</w:t>
      </w:r>
      <w:r w:rsidR="00807887" w:rsidRPr="00E4497A">
        <w:rPr>
          <w:color w:val="auto"/>
        </w:rPr>
        <w:t>o</w:t>
      </w:r>
      <w:r w:rsidR="00807887" w:rsidRPr="00E4497A">
        <w:rPr>
          <w:color w:val="auto"/>
        </w:rPr>
        <w:t>as jurídicas que se enquadrem em uma ou mais das seguintes situações:</w:t>
      </w:r>
    </w:p>
    <w:p w:rsidR="00807887" w:rsidRPr="00E4497A" w:rsidRDefault="00807887" w:rsidP="00807887">
      <w:pPr>
        <w:pStyle w:val="Default"/>
        <w:ind w:left="1134"/>
        <w:jc w:val="both"/>
        <w:rPr>
          <w:color w:val="auto"/>
        </w:rPr>
      </w:pPr>
      <w:r w:rsidRPr="00E4497A">
        <w:rPr>
          <w:b/>
          <w:bCs/>
          <w:color w:val="auto"/>
        </w:rPr>
        <w:t xml:space="preserve">a) </w:t>
      </w:r>
      <w:r w:rsidRPr="00E4497A">
        <w:rPr>
          <w:color w:val="auto"/>
        </w:rPr>
        <w:t xml:space="preserve">não comprovem sua condição de firma legalmente constituída, e não </w:t>
      </w:r>
      <w:proofErr w:type="gramStart"/>
      <w:r w:rsidRPr="00E4497A">
        <w:rPr>
          <w:color w:val="auto"/>
        </w:rPr>
        <w:t>apr</w:t>
      </w:r>
      <w:r w:rsidRPr="00E4497A">
        <w:rPr>
          <w:color w:val="auto"/>
        </w:rPr>
        <w:t>e</w:t>
      </w:r>
      <w:r w:rsidRPr="00E4497A">
        <w:rPr>
          <w:color w:val="auto"/>
        </w:rPr>
        <w:t>sentem</w:t>
      </w:r>
      <w:proofErr w:type="gramEnd"/>
      <w:r w:rsidRPr="00E4497A">
        <w:rPr>
          <w:color w:val="auto"/>
        </w:rPr>
        <w:t>, em seu contrato social, a prestação dos serviços objeto desta licitação, ou intrínsecas à construção e fiscalização de obras de construção civil;</w:t>
      </w:r>
    </w:p>
    <w:p w:rsidR="00807887" w:rsidRPr="00E4497A" w:rsidRDefault="00807887" w:rsidP="00807887">
      <w:pPr>
        <w:pStyle w:val="Default"/>
        <w:ind w:left="1134"/>
        <w:jc w:val="both"/>
        <w:rPr>
          <w:color w:val="auto"/>
        </w:rPr>
      </w:pPr>
      <w:r w:rsidRPr="00E4497A">
        <w:rPr>
          <w:b/>
          <w:bCs/>
          <w:color w:val="auto"/>
        </w:rPr>
        <w:t xml:space="preserve">b) </w:t>
      </w:r>
      <w:r w:rsidRPr="00E4497A">
        <w:rPr>
          <w:color w:val="auto"/>
        </w:rPr>
        <w:t>estejam cumprindo penalidade de suspensão temporária por qualquer órgão da administração pública;</w:t>
      </w:r>
    </w:p>
    <w:p w:rsidR="00807887" w:rsidRPr="00E4497A" w:rsidRDefault="00807887" w:rsidP="00807887">
      <w:pPr>
        <w:pStyle w:val="Default"/>
        <w:ind w:left="1134"/>
        <w:jc w:val="both"/>
        <w:rPr>
          <w:color w:val="auto"/>
        </w:rPr>
      </w:pPr>
      <w:r w:rsidRPr="00E4497A">
        <w:rPr>
          <w:b/>
          <w:bCs/>
          <w:color w:val="auto"/>
        </w:rPr>
        <w:t xml:space="preserve">c) </w:t>
      </w:r>
      <w:r w:rsidRPr="00E4497A">
        <w:rPr>
          <w:color w:val="auto"/>
        </w:rPr>
        <w:t>sejam declaradas inidôneas nas esferas Federal, Estadual, Municipal ou Di</w:t>
      </w:r>
      <w:r w:rsidRPr="00E4497A">
        <w:rPr>
          <w:color w:val="auto"/>
        </w:rPr>
        <w:t>s</w:t>
      </w:r>
      <w:r w:rsidRPr="00E4497A">
        <w:rPr>
          <w:color w:val="auto"/>
        </w:rPr>
        <w:t>trital;</w:t>
      </w:r>
    </w:p>
    <w:p w:rsidR="00807887" w:rsidRPr="00E4497A" w:rsidRDefault="00807887" w:rsidP="00807887">
      <w:pPr>
        <w:pStyle w:val="Default"/>
        <w:ind w:left="1134"/>
        <w:jc w:val="both"/>
        <w:rPr>
          <w:color w:val="auto"/>
        </w:rPr>
      </w:pPr>
      <w:r w:rsidRPr="00E4497A">
        <w:rPr>
          <w:b/>
          <w:bCs/>
          <w:color w:val="auto"/>
        </w:rPr>
        <w:t xml:space="preserve">d) </w:t>
      </w:r>
      <w:r w:rsidRPr="00E4497A">
        <w:rPr>
          <w:color w:val="auto"/>
        </w:rPr>
        <w:t xml:space="preserve">estejam </w:t>
      </w:r>
      <w:proofErr w:type="gramStart"/>
      <w:r w:rsidRPr="00E4497A">
        <w:rPr>
          <w:color w:val="auto"/>
        </w:rPr>
        <w:t>sob falência</w:t>
      </w:r>
      <w:proofErr w:type="gramEnd"/>
      <w:r w:rsidRPr="00E4497A">
        <w:rPr>
          <w:color w:val="auto"/>
        </w:rPr>
        <w:t>, concordata, dissolução ou liquidação;</w:t>
      </w:r>
    </w:p>
    <w:p w:rsidR="00475853" w:rsidRPr="00E4497A" w:rsidRDefault="00807887" w:rsidP="00807887">
      <w:pPr>
        <w:pStyle w:val="Default"/>
        <w:ind w:left="1134"/>
        <w:jc w:val="both"/>
      </w:pPr>
      <w:r w:rsidRPr="00E4497A">
        <w:rPr>
          <w:b/>
          <w:bCs/>
          <w:color w:val="auto"/>
        </w:rPr>
        <w:t xml:space="preserve">e) </w:t>
      </w:r>
      <w:r w:rsidRPr="00E4497A">
        <w:rPr>
          <w:color w:val="auto"/>
        </w:rPr>
        <w:t>consórcio de empresas.</w:t>
      </w:r>
      <w:r w:rsidRPr="00E4497A">
        <w:t xml:space="preserve"> </w:t>
      </w:r>
    </w:p>
    <w:p w:rsidR="00475853" w:rsidRPr="00E4497A" w:rsidRDefault="00475853">
      <w:pPr>
        <w:pStyle w:val="Standard"/>
        <w:jc w:val="both"/>
        <w:rPr>
          <w:rFonts w:ascii="Arial" w:hAnsi="Arial" w:cs="Arial"/>
          <w:b/>
        </w:rPr>
      </w:pPr>
    </w:p>
    <w:p w:rsidR="00807887" w:rsidRPr="00E4497A" w:rsidRDefault="00807887" w:rsidP="00807887">
      <w:pPr>
        <w:pStyle w:val="Default"/>
      </w:pPr>
    </w:p>
    <w:p w:rsidR="00807887" w:rsidRPr="00E4497A" w:rsidRDefault="00807887" w:rsidP="00C20671">
      <w:pPr>
        <w:pStyle w:val="Default"/>
        <w:jc w:val="center"/>
        <w:rPr>
          <w:b/>
          <w:bCs/>
          <w:color w:val="auto"/>
        </w:rPr>
      </w:pPr>
      <w:r w:rsidRPr="00E4497A">
        <w:rPr>
          <w:b/>
          <w:bCs/>
          <w:color w:val="auto"/>
        </w:rPr>
        <w:t>DA APRESENTAÇÃO DOS ENVELOPES</w:t>
      </w:r>
    </w:p>
    <w:p w:rsidR="00C20671" w:rsidRPr="00E4497A" w:rsidRDefault="00C20671" w:rsidP="00807887">
      <w:pPr>
        <w:pStyle w:val="Default"/>
        <w:jc w:val="both"/>
        <w:rPr>
          <w:b/>
          <w:bCs/>
          <w:color w:val="auto"/>
        </w:rPr>
      </w:pPr>
    </w:p>
    <w:p w:rsidR="00807887" w:rsidRPr="00E4497A" w:rsidRDefault="00807887" w:rsidP="00807887">
      <w:pPr>
        <w:pStyle w:val="Default"/>
        <w:jc w:val="both"/>
        <w:rPr>
          <w:b/>
        </w:rPr>
      </w:pPr>
      <w:r w:rsidRPr="00E4497A">
        <w:rPr>
          <w:b/>
          <w:bCs/>
          <w:color w:val="auto"/>
        </w:rPr>
        <w:t xml:space="preserve">3. </w:t>
      </w:r>
      <w:r w:rsidRPr="00E4497A">
        <w:rPr>
          <w:color w:val="auto"/>
        </w:rPr>
        <w:t xml:space="preserve">Os documentos de habilitação e as propostas de preços deverão ser apresentados no local, dia e hora determinados, à Comissão Especial de Licitação, em </w:t>
      </w:r>
      <w:proofErr w:type="gramStart"/>
      <w:r w:rsidRPr="00E4497A">
        <w:rPr>
          <w:color w:val="auto"/>
        </w:rPr>
        <w:t>2</w:t>
      </w:r>
      <w:proofErr w:type="gramEnd"/>
      <w:r w:rsidRPr="00E4497A">
        <w:rPr>
          <w:color w:val="auto"/>
        </w:rPr>
        <w:t xml:space="preserve"> (dois) envelopes, </w:t>
      </w:r>
      <w:r w:rsidRPr="00E4497A">
        <w:rPr>
          <w:b/>
          <w:bCs/>
          <w:color w:val="auto"/>
        </w:rPr>
        <w:t xml:space="preserve">“A” Documentos de Habilitação </w:t>
      </w:r>
      <w:r w:rsidRPr="00E4497A">
        <w:rPr>
          <w:color w:val="auto"/>
        </w:rPr>
        <w:t xml:space="preserve">e </w:t>
      </w:r>
      <w:r w:rsidRPr="00E4497A">
        <w:rPr>
          <w:b/>
          <w:bCs/>
          <w:color w:val="auto"/>
        </w:rPr>
        <w:t>“B” Proposta de Preços</w:t>
      </w:r>
      <w:r w:rsidRPr="00E4497A">
        <w:rPr>
          <w:color w:val="auto"/>
        </w:rPr>
        <w:t>, devidamente fechados e rubricados, neles constando, em sua parte externa, os seguintes dizeres:</w:t>
      </w:r>
    </w:p>
    <w:p w:rsidR="00807887" w:rsidRPr="00E4497A" w:rsidRDefault="00807887" w:rsidP="00807887">
      <w:pPr>
        <w:pStyle w:val="Default"/>
      </w:pPr>
    </w:p>
    <w:p w:rsidR="00807887" w:rsidRPr="00E4497A" w:rsidRDefault="00807887" w:rsidP="00C20671">
      <w:pPr>
        <w:pStyle w:val="Default"/>
        <w:ind w:left="1418"/>
        <w:jc w:val="both"/>
        <w:rPr>
          <w:b/>
          <w:bCs/>
          <w:color w:val="auto"/>
        </w:rPr>
      </w:pPr>
      <w:r w:rsidRPr="00E4497A">
        <w:rPr>
          <w:b/>
          <w:bCs/>
          <w:color w:val="auto"/>
        </w:rPr>
        <w:t>Ao Tribunal de Contas do Estado de Goiás, Comissão Especial de Lic</w:t>
      </w:r>
      <w:r w:rsidRPr="00E4497A">
        <w:rPr>
          <w:b/>
          <w:bCs/>
          <w:color w:val="auto"/>
        </w:rPr>
        <w:t>i</w:t>
      </w:r>
      <w:r w:rsidRPr="00E4497A">
        <w:rPr>
          <w:b/>
          <w:bCs/>
          <w:color w:val="auto"/>
        </w:rPr>
        <w:t>tação, Praça Cívica, nº 332, Centro, em Goiânia-GO;</w:t>
      </w:r>
    </w:p>
    <w:p w:rsidR="00807887" w:rsidRPr="00E4497A" w:rsidRDefault="00807887" w:rsidP="00C20671">
      <w:pPr>
        <w:pStyle w:val="Default"/>
        <w:ind w:left="1418"/>
        <w:jc w:val="both"/>
        <w:rPr>
          <w:b/>
          <w:bCs/>
          <w:color w:val="auto"/>
        </w:rPr>
      </w:pPr>
      <w:r w:rsidRPr="00E4497A">
        <w:rPr>
          <w:b/>
          <w:bCs/>
          <w:color w:val="auto"/>
        </w:rPr>
        <w:t>Tomada de Preços nº 001/12;</w:t>
      </w:r>
    </w:p>
    <w:p w:rsidR="00807887" w:rsidRPr="00E4497A" w:rsidRDefault="00807887" w:rsidP="00C20671">
      <w:pPr>
        <w:pStyle w:val="Default"/>
        <w:ind w:left="1418"/>
        <w:jc w:val="both"/>
        <w:rPr>
          <w:b/>
        </w:rPr>
      </w:pPr>
      <w:r w:rsidRPr="00E4497A">
        <w:rPr>
          <w:b/>
          <w:bCs/>
          <w:color w:val="auto"/>
        </w:rPr>
        <w:t>Razão social e endereço da proponente.</w:t>
      </w:r>
    </w:p>
    <w:p w:rsidR="00807887" w:rsidRPr="00E4497A" w:rsidRDefault="00807887">
      <w:pPr>
        <w:pStyle w:val="Standard"/>
        <w:jc w:val="both"/>
        <w:rPr>
          <w:rFonts w:ascii="Arial" w:hAnsi="Arial" w:cs="Arial"/>
          <w:b/>
        </w:rPr>
      </w:pPr>
    </w:p>
    <w:p w:rsidR="00E4497A" w:rsidRDefault="00E4497A" w:rsidP="00C20671">
      <w:pPr>
        <w:pStyle w:val="Standard"/>
        <w:jc w:val="center"/>
        <w:rPr>
          <w:rFonts w:ascii="Arial" w:hAnsi="Arial" w:cs="Arial"/>
          <w:b/>
        </w:rPr>
      </w:pPr>
    </w:p>
    <w:p w:rsidR="00475853" w:rsidRPr="00E4497A" w:rsidRDefault="00C20671" w:rsidP="00C20671">
      <w:pPr>
        <w:pStyle w:val="Standard"/>
        <w:jc w:val="center"/>
        <w:rPr>
          <w:rFonts w:ascii="Arial" w:hAnsi="Arial" w:cs="Arial"/>
          <w:b/>
        </w:rPr>
      </w:pPr>
      <w:r w:rsidRPr="00E4497A">
        <w:rPr>
          <w:rFonts w:ascii="Arial" w:hAnsi="Arial" w:cs="Arial"/>
          <w:b/>
        </w:rPr>
        <w:t>DA DOCUMENTAÇÃO</w:t>
      </w:r>
      <w:r w:rsidR="00E4497A">
        <w:rPr>
          <w:rFonts w:ascii="Arial" w:hAnsi="Arial" w:cs="Arial"/>
          <w:b/>
        </w:rPr>
        <w:t xml:space="preserve"> – ENVELOPE “A”</w:t>
      </w:r>
    </w:p>
    <w:p w:rsidR="00C20671" w:rsidRPr="00E4497A" w:rsidRDefault="00C20671" w:rsidP="00C20671">
      <w:pPr>
        <w:pStyle w:val="Default"/>
        <w:jc w:val="both"/>
        <w:rPr>
          <w:color w:val="auto"/>
        </w:rPr>
      </w:pPr>
    </w:p>
    <w:p w:rsidR="00C20671" w:rsidRPr="00E4497A" w:rsidRDefault="00C20671" w:rsidP="00C20671">
      <w:pPr>
        <w:pStyle w:val="Default"/>
        <w:jc w:val="both"/>
        <w:rPr>
          <w:color w:val="auto"/>
        </w:rPr>
      </w:pPr>
      <w:r w:rsidRPr="00E4497A">
        <w:rPr>
          <w:b/>
          <w:color w:val="auto"/>
        </w:rPr>
        <w:t>4.</w:t>
      </w:r>
      <w:r w:rsidRPr="00E4497A">
        <w:rPr>
          <w:color w:val="auto"/>
        </w:rPr>
        <w:t xml:space="preserve"> Para habilitação, o proponente deverá apresentar a documentação abaixo discriminada, colocada na ordem sequencial deste Edital.</w:t>
      </w:r>
    </w:p>
    <w:p w:rsidR="00C20671" w:rsidRPr="00E4497A" w:rsidRDefault="00C20671" w:rsidP="00C20671">
      <w:pPr>
        <w:pStyle w:val="Default"/>
        <w:jc w:val="both"/>
        <w:rPr>
          <w:color w:val="auto"/>
        </w:rPr>
      </w:pPr>
    </w:p>
    <w:p w:rsidR="00C20671" w:rsidRPr="00E4497A" w:rsidRDefault="00C20671" w:rsidP="00C20671">
      <w:pPr>
        <w:pStyle w:val="Default"/>
        <w:jc w:val="both"/>
      </w:pPr>
      <w:r w:rsidRPr="00E4497A">
        <w:rPr>
          <w:b/>
          <w:bCs/>
          <w:color w:val="auto"/>
        </w:rPr>
        <w:t xml:space="preserve">5. </w:t>
      </w:r>
      <w:r w:rsidRPr="00E4497A">
        <w:rPr>
          <w:color w:val="auto"/>
        </w:rPr>
        <w:t>Caso o envelope com indicação externa de conteúdo “DOCUMENTAÇÃO” não cont</w:t>
      </w:r>
      <w:r w:rsidRPr="00E4497A">
        <w:rPr>
          <w:color w:val="auto"/>
        </w:rPr>
        <w:t>e</w:t>
      </w:r>
      <w:r w:rsidRPr="00E4497A">
        <w:rPr>
          <w:color w:val="auto"/>
        </w:rPr>
        <w:t>nha os documentos exigíveis para apresente licitação, o interessado será imediatamente inabilitado, independentemente do conteúdo do outro envelope.</w:t>
      </w:r>
    </w:p>
    <w:p w:rsidR="00C20671" w:rsidRPr="00E4497A" w:rsidRDefault="00C20671" w:rsidP="00C20671">
      <w:pPr>
        <w:pStyle w:val="Default"/>
      </w:pPr>
    </w:p>
    <w:p w:rsidR="00C20671" w:rsidRPr="00E4497A" w:rsidRDefault="00C20671" w:rsidP="00C20671">
      <w:pPr>
        <w:pStyle w:val="Default"/>
        <w:jc w:val="both"/>
        <w:rPr>
          <w:color w:val="auto"/>
        </w:rPr>
      </w:pPr>
      <w:r w:rsidRPr="00E4497A">
        <w:rPr>
          <w:b/>
          <w:bCs/>
          <w:color w:val="auto"/>
        </w:rPr>
        <w:t xml:space="preserve">6. </w:t>
      </w:r>
      <w:r w:rsidRPr="00E4497A">
        <w:rPr>
          <w:color w:val="auto"/>
        </w:rPr>
        <w:t>O envelope “A” deverá conter documentação relativa à:</w:t>
      </w:r>
    </w:p>
    <w:p w:rsidR="00C20671" w:rsidRPr="00E4497A" w:rsidRDefault="00C20671" w:rsidP="00C20671">
      <w:pPr>
        <w:pStyle w:val="Default"/>
        <w:jc w:val="both"/>
        <w:rPr>
          <w:b/>
          <w:bCs/>
          <w:color w:val="auto"/>
        </w:rPr>
      </w:pPr>
    </w:p>
    <w:p w:rsidR="00C20671" w:rsidRPr="00E4497A" w:rsidRDefault="00C20671" w:rsidP="00C20671">
      <w:pPr>
        <w:pStyle w:val="Default"/>
        <w:jc w:val="both"/>
        <w:rPr>
          <w:color w:val="auto"/>
        </w:rPr>
      </w:pPr>
      <w:r w:rsidRPr="00E4497A">
        <w:rPr>
          <w:b/>
          <w:bCs/>
          <w:color w:val="auto"/>
        </w:rPr>
        <w:t>6.1. HABILITAÇÃO JURÍDICA:</w:t>
      </w:r>
    </w:p>
    <w:p w:rsidR="00C20671" w:rsidRPr="00E4497A" w:rsidRDefault="00C20671" w:rsidP="00C20671">
      <w:pPr>
        <w:pStyle w:val="Default"/>
        <w:jc w:val="both"/>
        <w:rPr>
          <w:b/>
          <w:bCs/>
          <w:color w:val="auto"/>
        </w:rPr>
      </w:pPr>
    </w:p>
    <w:p w:rsidR="00C20671" w:rsidRPr="00E4497A" w:rsidRDefault="00C20671" w:rsidP="00C20671">
      <w:pPr>
        <w:pStyle w:val="Default"/>
        <w:ind w:left="1134"/>
        <w:jc w:val="both"/>
        <w:rPr>
          <w:color w:val="auto"/>
        </w:rPr>
      </w:pPr>
      <w:r w:rsidRPr="00E4497A">
        <w:rPr>
          <w:b/>
          <w:bCs/>
          <w:color w:val="auto"/>
        </w:rPr>
        <w:t xml:space="preserve">a) </w:t>
      </w:r>
      <w:r w:rsidRPr="00E4497A">
        <w:rPr>
          <w:color w:val="auto"/>
        </w:rPr>
        <w:t>prova de constituição da empresa, apresentada da seguinte forma:</w:t>
      </w:r>
    </w:p>
    <w:p w:rsidR="00C20671" w:rsidRPr="00E4497A" w:rsidRDefault="00C20671" w:rsidP="00C20671">
      <w:pPr>
        <w:pStyle w:val="Default"/>
        <w:tabs>
          <w:tab w:val="left" w:pos="1276"/>
        </w:tabs>
        <w:ind w:left="1701"/>
        <w:jc w:val="both"/>
        <w:rPr>
          <w:color w:val="auto"/>
        </w:rPr>
      </w:pPr>
      <w:r w:rsidRPr="00E4497A">
        <w:rPr>
          <w:color w:val="auto"/>
        </w:rPr>
        <w:t>-ato constitutivo, estatuto ou contrato social em vigor, devidamente regi</w:t>
      </w:r>
      <w:r w:rsidRPr="00E4497A">
        <w:rPr>
          <w:color w:val="auto"/>
        </w:rPr>
        <w:t>s</w:t>
      </w:r>
      <w:r w:rsidRPr="00E4497A">
        <w:rPr>
          <w:color w:val="auto"/>
        </w:rPr>
        <w:t>trado, em se tratando de sociedades comerciais, e, no caso de socied</w:t>
      </w:r>
      <w:r w:rsidRPr="00E4497A">
        <w:rPr>
          <w:color w:val="auto"/>
        </w:rPr>
        <w:t>a</w:t>
      </w:r>
      <w:r w:rsidRPr="00E4497A">
        <w:rPr>
          <w:color w:val="auto"/>
        </w:rPr>
        <w:t>des por ações, acompanhado de documentos de eleição de seus admini</w:t>
      </w:r>
      <w:r w:rsidRPr="00E4497A">
        <w:rPr>
          <w:color w:val="auto"/>
        </w:rPr>
        <w:t>s</w:t>
      </w:r>
      <w:r w:rsidRPr="00E4497A">
        <w:rPr>
          <w:color w:val="auto"/>
        </w:rPr>
        <w:t>tradores;</w:t>
      </w:r>
    </w:p>
    <w:p w:rsidR="00C20671" w:rsidRPr="00E4497A" w:rsidRDefault="00C20671" w:rsidP="00C20671">
      <w:pPr>
        <w:pStyle w:val="Default"/>
        <w:tabs>
          <w:tab w:val="left" w:pos="1276"/>
        </w:tabs>
        <w:ind w:left="1701"/>
        <w:jc w:val="both"/>
        <w:rPr>
          <w:color w:val="auto"/>
        </w:rPr>
      </w:pPr>
      <w:r w:rsidRPr="00E4497A">
        <w:rPr>
          <w:color w:val="auto"/>
        </w:rPr>
        <w:t>-inscrição do ato constitutivo, acompanhada de prova da diretoria em exercício, no caso de sociedades civis;</w:t>
      </w:r>
    </w:p>
    <w:p w:rsidR="00C20671" w:rsidRPr="00E4497A" w:rsidRDefault="00C20671" w:rsidP="00C20671">
      <w:pPr>
        <w:pStyle w:val="Default"/>
        <w:tabs>
          <w:tab w:val="left" w:pos="1276"/>
        </w:tabs>
        <w:ind w:left="1701"/>
        <w:jc w:val="both"/>
        <w:rPr>
          <w:color w:val="auto"/>
        </w:rPr>
      </w:pPr>
      <w:r w:rsidRPr="00E4497A">
        <w:rPr>
          <w:color w:val="auto"/>
        </w:rPr>
        <w:t>-decreto de autorização, em se tratando de empresa ou sociedade e</w:t>
      </w:r>
      <w:r w:rsidRPr="00E4497A">
        <w:rPr>
          <w:color w:val="auto"/>
        </w:rPr>
        <w:t>s</w:t>
      </w:r>
      <w:r w:rsidRPr="00E4497A">
        <w:rPr>
          <w:color w:val="auto"/>
        </w:rPr>
        <w:t>trangeira em funcionamento no País, e ato de registro ou autorização para funcionamento, expedido pelo órgão competente, se a atividade relativa ao objeto desta licitação assim o exigir.</w:t>
      </w:r>
    </w:p>
    <w:p w:rsidR="00C20671" w:rsidRPr="00E4497A" w:rsidRDefault="00C20671" w:rsidP="00C20671">
      <w:pPr>
        <w:pStyle w:val="Default"/>
        <w:jc w:val="both"/>
        <w:rPr>
          <w:b/>
          <w:bCs/>
          <w:color w:val="auto"/>
        </w:rPr>
      </w:pPr>
    </w:p>
    <w:p w:rsidR="00C20671" w:rsidRPr="00E4497A" w:rsidRDefault="00C20671" w:rsidP="00C20671">
      <w:pPr>
        <w:pStyle w:val="Default"/>
        <w:jc w:val="both"/>
        <w:rPr>
          <w:color w:val="auto"/>
        </w:rPr>
      </w:pPr>
      <w:r w:rsidRPr="00E4497A">
        <w:rPr>
          <w:b/>
          <w:bCs/>
          <w:color w:val="auto"/>
        </w:rPr>
        <w:t>6.2. REGULARIDADE FISCAL:</w:t>
      </w:r>
    </w:p>
    <w:p w:rsidR="00C20671" w:rsidRPr="00E4497A" w:rsidRDefault="00C20671" w:rsidP="00C20671">
      <w:pPr>
        <w:pStyle w:val="Default"/>
        <w:ind w:left="1134"/>
        <w:jc w:val="both"/>
        <w:rPr>
          <w:b/>
          <w:bCs/>
          <w:color w:val="auto"/>
        </w:rPr>
      </w:pPr>
    </w:p>
    <w:p w:rsidR="00C20671" w:rsidRPr="00E4497A" w:rsidRDefault="00C20671" w:rsidP="00C20671">
      <w:pPr>
        <w:pStyle w:val="Default"/>
        <w:ind w:left="851"/>
        <w:jc w:val="both"/>
        <w:rPr>
          <w:color w:val="auto"/>
        </w:rPr>
      </w:pPr>
      <w:r w:rsidRPr="00E4497A">
        <w:rPr>
          <w:b/>
          <w:bCs/>
          <w:color w:val="auto"/>
        </w:rPr>
        <w:t xml:space="preserve">a) </w:t>
      </w:r>
      <w:r w:rsidRPr="00E4497A">
        <w:rPr>
          <w:color w:val="auto"/>
        </w:rPr>
        <w:t>prova de inscrição no Cadastro Nacional da Pessoa Jurídica (CNPJ);</w:t>
      </w:r>
    </w:p>
    <w:p w:rsidR="00C20671" w:rsidRPr="00E4497A" w:rsidRDefault="00C20671" w:rsidP="00C20671">
      <w:pPr>
        <w:pStyle w:val="Default"/>
        <w:ind w:left="851"/>
        <w:jc w:val="both"/>
        <w:rPr>
          <w:color w:val="auto"/>
        </w:rPr>
      </w:pPr>
      <w:r w:rsidRPr="00E4497A">
        <w:rPr>
          <w:b/>
          <w:bCs/>
          <w:color w:val="auto"/>
        </w:rPr>
        <w:t xml:space="preserve">b) </w:t>
      </w:r>
      <w:r w:rsidRPr="00E4497A">
        <w:rPr>
          <w:color w:val="auto"/>
        </w:rPr>
        <w:t>prova de regularidade relativa à Seguridade Social, fornecida pelo Instituto N</w:t>
      </w:r>
      <w:r w:rsidRPr="00E4497A">
        <w:rPr>
          <w:color w:val="auto"/>
        </w:rPr>
        <w:t>a</w:t>
      </w:r>
      <w:r w:rsidRPr="00E4497A">
        <w:rPr>
          <w:color w:val="auto"/>
        </w:rPr>
        <w:t>cional de Seguridade Social (INSS);</w:t>
      </w:r>
    </w:p>
    <w:p w:rsidR="00C20671" w:rsidRPr="00E4497A" w:rsidRDefault="00C20671" w:rsidP="00C20671">
      <w:pPr>
        <w:pStyle w:val="Default"/>
        <w:ind w:left="851"/>
        <w:jc w:val="both"/>
        <w:rPr>
          <w:color w:val="auto"/>
        </w:rPr>
      </w:pPr>
      <w:r w:rsidRPr="00E4497A">
        <w:rPr>
          <w:b/>
          <w:bCs/>
          <w:color w:val="auto"/>
        </w:rPr>
        <w:t xml:space="preserve">c) </w:t>
      </w:r>
      <w:r w:rsidRPr="00E4497A">
        <w:rPr>
          <w:color w:val="auto"/>
        </w:rPr>
        <w:t>prova de regularidade relativa ao Fundo de Garantia por Tempo de Serviço (FGTS), expedida pela Caixa Econômica Federal;</w:t>
      </w:r>
    </w:p>
    <w:p w:rsidR="00C20671" w:rsidRPr="00E4497A" w:rsidRDefault="00C20671" w:rsidP="00C20671">
      <w:pPr>
        <w:pStyle w:val="Default"/>
        <w:ind w:left="851"/>
        <w:jc w:val="both"/>
        <w:rPr>
          <w:color w:val="auto"/>
        </w:rPr>
      </w:pPr>
      <w:r w:rsidRPr="00E4497A">
        <w:rPr>
          <w:b/>
          <w:bCs/>
          <w:color w:val="auto"/>
        </w:rPr>
        <w:t xml:space="preserve">d) </w:t>
      </w:r>
      <w:r w:rsidRPr="00E4497A">
        <w:rPr>
          <w:color w:val="auto"/>
        </w:rPr>
        <w:t>prova de regularidade para com a Fazenda Pública Federal do domicílio ou s</w:t>
      </w:r>
      <w:r w:rsidRPr="00E4497A">
        <w:rPr>
          <w:color w:val="auto"/>
        </w:rPr>
        <w:t>e</w:t>
      </w:r>
      <w:r w:rsidRPr="00E4497A">
        <w:rPr>
          <w:color w:val="auto"/>
        </w:rPr>
        <w:t>de da firma interessada mediante Certidão da Dívida Ativa da União, expedida p</w:t>
      </w:r>
      <w:r w:rsidRPr="00E4497A">
        <w:rPr>
          <w:color w:val="auto"/>
        </w:rPr>
        <w:t>e</w:t>
      </w:r>
      <w:r w:rsidRPr="00E4497A">
        <w:rPr>
          <w:color w:val="auto"/>
        </w:rPr>
        <w:t>la Procuradoria da Fazenda Nacional e Certidão de Quitação de Tributos Federais, expedida pela Secretaria da Receita Federal;</w:t>
      </w:r>
    </w:p>
    <w:p w:rsidR="00C20671" w:rsidRPr="00E4497A" w:rsidRDefault="00C20671" w:rsidP="00C20671">
      <w:pPr>
        <w:pStyle w:val="Default"/>
        <w:ind w:left="851"/>
        <w:jc w:val="both"/>
        <w:rPr>
          <w:color w:val="auto"/>
        </w:rPr>
      </w:pPr>
      <w:r w:rsidRPr="00E4497A">
        <w:rPr>
          <w:b/>
          <w:bCs/>
          <w:color w:val="auto"/>
        </w:rPr>
        <w:t xml:space="preserve">e) </w:t>
      </w:r>
      <w:r w:rsidRPr="00E4497A">
        <w:rPr>
          <w:color w:val="auto"/>
        </w:rPr>
        <w:t>prova de regularidade para com a Fazenda Pública Estadual do domicílio ou sede da firma interessada, mediante Certidão Negativa expedida pela Secretaria da Fazenda do Estado ou Distrito Federal;</w:t>
      </w:r>
    </w:p>
    <w:p w:rsidR="00C20671" w:rsidRPr="00E4497A" w:rsidRDefault="00C20671" w:rsidP="00C20671">
      <w:pPr>
        <w:pStyle w:val="Default"/>
        <w:ind w:left="851"/>
        <w:rPr>
          <w:color w:val="auto"/>
        </w:rPr>
      </w:pPr>
      <w:r w:rsidRPr="00E4497A">
        <w:rPr>
          <w:b/>
          <w:bCs/>
          <w:color w:val="auto"/>
        </w:rPr>
        <w:t xml:space="preserve">f) </w:t>
      </w:r>
      <w:r w:rsidRPr="00E4497A">
        <w:rPr>
          <w:color w:val="auto"/>
        </w:rPr>
        <w:t>prova de regularidade para com a Fazenda Pública Municipal do domicílio ou sede da firma interessada, mediante Certidão Negativa expedida pela Prefeitura Municipal, quando couber;</w:t>
      </w:r>
    </w:p>
    <w:p w:rsidR="00B449F3" w:rsidRPr="00E4497A" w:rsidRDefault="00B449F3" w:rsidP="00B449F3">
      <w:pPr>
        <w:pStyle w:val="Default"/>
        <w:ind w:left="851"/>
        <w:jc w:val="both"/>
      </w:pPr>
      <w:r w:rsidRPr="00E4497A">
        <w:rPr>
          <w:b/>
          <w:bCs/>
          <w:color w:val="auto"/>
        </w:rPr>
        <w:t xml:space="preserve">g) </w:t>
      </w:r>
      <w:r w:rsidRPr="00E4497A">
        <w:t>prova de inexistência de débitos inadimplidos perante a Justiça do Trabalho, mediante a apresentação de certidão negativa, nos termos do Título VII-A da Consolidação das Leis do Trabalho, aprovada pelo Decreto-Lei nº 5.452, de 1º</w:t>
      </w:r>
      <w:proofErr w:type="gramStart"/>
      <w:r w:rsidRPr="00E4497A">
        <w:t xml:space="preserve">  </w:t>
      </w:r>
      <w:proofErr w:type="gramEnd"/>
      <w:r w:rsidRPr="00E4497A">
        <w:t>de maio de 2003</w:t>
      </w:r>
    </w:p>
    <w:p w:rsidR="00C20671" w:rsidRPr="00E4497A" w:rsidRDefault="00C20671" w:rsidP="00C20671">
      <w:pPr>
        <w:pStyle w:val="Standard"/>
        <w:suppressAutoHyphens w:val="0"/>
        <w:autoSpaceDE w:val="0"/>
        <w:jc w:val="both"/>
        <w:rPr>
          <w:rFonts w:ascii="Arial" w:hAnsi="Arial" w:cs="Arial"/>
        </w:rPr>
      </w:pPr>
    </w:p>
    <w:p w:rsidR="00C20671" w:rsidRPr="00E4497A" w:rsidRDefault="00C20671" w:rsidP="00C20671">
      <w:pPr>
        <w:pStyle w:val="Default"/>
      </w:pPr>
    </w:p>
    <w:p w:rsidR="00C20671" w:rsidRPr="00E4497A" w:rsidRDefault="00C20671" w:rsidP="00C20671">
      <w:pPr>
        <w:pStyle w:val="Default"/>
        <w:rPr>
          <w:color w:val="auto"/>
        </w:rPr>
      </w:pPr>
      <w:r w:rsidRPr="00E4497A">
        <w:rPr>
          <w:b/>
          <w:bCs/>
          <w:color w:val="auto"/>
        </w:rPr>
        <w:t>6.3. QUALIFICAÇÃO TÉCNICA:</w:t>
      </w:r>
    </w:p>
    <w:p w:rsidR="00C20671" w:rsidRPr="00E4497A" w:rsidRDefault="00C20671" w:rsidP="00C20671">
      <w:pPr>
        <w:pStyle w:val="Default"/>
        <w:rPr>
          <w:b/>
          <w:bCs/>
          <w:color w:val="auto"/>
        </w:rPr>
      </w:pPr>
    </w:p>
    <w:p w:rsidR="00F8088F" w:rsidRPr="00E4497A" w:rsidRDefault="00F8088F" w:rsidP="00F8088F">
      <w:pPr>
        <w:pStyle w:val="Corpodetexto"/>
        <w:ind w:left="851"/>
        <w:jc w:val="both"/>
        <w:rPr>
          <w:rFonts w:ascii="Arial" w:hAnsi="Arial" w:cs="Arial"/>
          <w:lang w:val="pt-BR"/>
        </w:rPr>
      </w:pPr>
      <w:r w:rsidRPr="00E4497A">
        <w:rPr>
          <w:rFonts w:ascii="Arial" w:hAnsi="Arial" w:cs="Arial"/>
          <w:lang w:val="pt-BR"/>
        </w:rPr>
        <w:t xml:space="preserve">a) Comprovação de capacidade técnica para desempenho de atividade pertinente e compatível com o objeto da presente licitação, mediante a apresentação de pelo menos </w:t>
      </w:r>
      <w:proofErr w:type="gramStart"/>
      <w:r w:rsidRPr="00E4497A">
        <w:rPr>
          <w:rFonts w:ascii="Arial" w:hAnsi="Arial" w:cs="Arial"/>
          <w:lang w:val="pt-BR"/>
        </w:rPr>
        <w:t>1</w:t>
      </w:r>
      <w:proofErr w:type="gramEnd"/>
      <w:r w:rsidRPr="00E4497A">
        <w:rPr>
          <w:rFonts w:ascii="Arial" w:hAnsi="Arial" w:cs="Arial"/>
          <w:lang w:val="pt-BR"/>
        </w:rPr>
        <w:t xml:space="preserve"> (um) atestado, passado por pessoa jurídica de direito público ou privado, para a qual a </w:t>
      </w:r>
      <w:r w:rsidRPr="00E4497A">
        <w:rPr>
          <w:rFonts w:ascii="Arial" w:hAnsi="Arial" w:cs="Arial"/>
          <w:b/>
          <w:lang w:val="pt-BR"/>
        </w:rPr>
        <w:t>licitante</w:t>
      </w:r>
      <w:r w:rsidRPr="00E4497A">
        <w:rPr>
          <w:rFonts w:ascii="Arial" w:hAnsi="Arial" w:cs="Arial"/>
          <w:lang w:val="pt-BR"/>
        </w:rPr>
        <w:t xml:space="preserve"> tenha prestado serviço;</w:t>
      </w:r>
    </w:p>
    <w:p w:rsidR="00F8088F" w:rsidRPr="00E4497A" w:rsidRDefault="00F8088F" w:rsidP="00F8088F">
      <w:pPr>
        <w:pStyle w:val="Corpodetexto"/>
        <w:ind w:left="851"/>
        <w:jc w:val="both"/>
        <w:rPr>
          <w:rFonts w:ascii="Arial" w:eastAsia="Times New Roman" w:hAnsi="Arial" w:cs="Arial"/>
          <w:color w:val="auto"/>
          <w:lang w:val="pt-BR"/>
        </w:rPr>
      </w:pPr>
      <w:r w:rsidRPr="00E4497A">
        <w:rPr>
          <w:rFonts w:ascii="Arial" w:hAnsi="Arial" w:cs="Arial"/>
          <w:lang w:val="pt-BR"/>
        </w:rPr>
        <w:lastRenderedPageBreak/>
        <w:t xml:space="preserve">b) </w:t>
      </w:r>
      <w:r w:rsidRPr="00E4497A">
        <w:rPr>
          <w:rFonts w:ascii="Arial" w:eastAsia="Times New Roman" w:hAnsi="Arial" w:cs="Arial"/>
          <w:color w:val="auto"/>
          <w:lang w:val="pt-BR"/>
        </w:rPr>
        <w:t xml:space="preserve">Comprovação de capacidade técnico-profissional, mediante apresentação de pelo menos 01 (uma) Certidão de Acervo Técnico do </w:t>
      </w:r>
      <w:r w:rsidRPr="00E4497A">
        <w:rPr>
          <w:rFonts w:ascii="Arial" w:eastAsia="Times New Roman" w:hAnsi="Arial" w:cs="Arial"/>
          <w:b/>
          <w:color w:val="auto"/>
          <w:lang w:val="pt-BR"/>
        </w:rPr>
        <w:t>Responsável Técnico</w:t>
      </w:r>
      <w:r w:rsidRPr="00E4497A">
        <w:rPr>
          <w:rFonts w:ascii="Arial" w:eastAsia="Times New Roman" w:hAnsi="Arial" w:cs="Arial"/>
          <w:color w:val="auto"/>
          <w:lang w:val="pt-BR"/>
        </w:rPr>
        <w:t xml:space="preserve"> da empresa que comprove a execução de obra ou serviço de características semelhantes ao objeto da licitação;</w:t>
      </w:r>
    </w:p>
    <w:p w:rsidR="00F8088F" w:rsidRPr="00E4497A" w:rsidRDefault="00F8088F" w:rsidP="00F8088F">
      <w:pPr>
        <w:pStyle w:val="Default"/>
        <w:rPr>
          <w:color w:val="auto"/>
        </w:rPr>
      </w:pPr>
      <w:r w:rsidRPr="00E4497A">
        <w:rPr>
          <w:color w:val="auto"/>
        </w:rPr>
        <w:t>.</w:t>
      </w:r>
    </w:p>
    <w:p w:rsidR="00F8088F" w:rsidRPr="00E4497A" w:rsidRDefault="00F8088F" w:rsidP="00F8088F">
      <w:pPr>
        <w:pStyle w:val="Default"/>
        <w:rPr>
          <w:color w:val="auto"/>
        </w:rPr>
      </w:pPr>
      <w:r w:rsidRPr="00E4497A">
        <w:rPr>
          <w:b/>
          <w:bCs/>
          <w:color w:val="auto"/>
        </w:rPr>
        <w:t>6.4. QUALIFICAÇÃO ECONÔMICO-FINANCEIRA:</w:t>
      </w:r>
    </w:p>
    <w:p w:rsidR="00F8088F" w:rsidRPr="00E4497A" w:rsidRDefault="00F8088F" w:rsidP="00F8088F">
      <w:pPr>
        <w:pStyle w:val="Default"/>
        <w:jc w:val="both"/>
        <w:rPr>
          <w:b/>
          <w:bCs/>
          <w:color w:val="auto"/>
        </w:rPr>
      </w:pPr>
    </w:p>
    <w:p w:rsidR="00F8088F" w:rsidRPr="00E4497A" w:rsidRDefault="00F8088F" w:rsidP="00F8088F">
      <w:pPr>
        <w:pStyle w:val="Default"/>
        <w:jc w:val="both"/>
        <w:rPr>
          <w:color w:val="auto"/>
        </w:rPr>
      </w:pPr>
      <w:r w:rsidRPr="00E4497A">
        <w:rPr>
          <w:b/>
          <w:bCs/>
          <w:color w:val="auto"/>
        </w:rPr>
        <w:t xml:space="preserve">a) </w:t>
      </w:r>
      <w:r w:rsidRPr="00E4497A">
        <w:rPr>
          <w:color w:val="auto"/>
        </w:rPr>
        <w:t>certidão negativa de falência ou concordata expedida pelo Cartório Distribuidor da sede da empresa;</w:t>
      </w:r>
    </w:p>
    <w:p w:rsidR="00F8088F" w:rsidRPr="00E4497A" w:rsidRDefault="00F8088F" w:rsidP="00F8088F">
      <w:pPr>
        <w:pStyle w:val="Default"/>
        <w:jc w:val="both"/>
        <w:rPr>
          <w:b/>
          <w:bCs/>
          <w:color w:val="auto"/>
        </w:rPr>
      </w:pPr>
    </w:p>
    <w:p w:rsidR="00F8088F" w:rsidRPr="00E4497A" w:rsidRDefault="00F8088F" w:rsidP="00F8088F">
      <w:pPr>
        <w:pStyle w:val="Default"/>
        <w:jc w:val="both"/>
        <w:rPr>
          <w:color w:val="auto"/>
        </w:rPr>
      </w:pPr>
      <w:r w:rsidRPr="00E4497A">
        <w:rPr>
          <w:b/>
          <w:bCs/>
          <w:color w:val="auto"/>
        </w:rPr>
        <w:t xml:space="preserve">6.5. </w:t>
      </w:r>
      <w:r w:rsidRPr="00E4497A">
        <w:rPr>
          <w:color w:val="auto"/>
        </w:rPr>
        <w:t>Declaração de fiel observância do disposto no artigo 7º, XXXIII, da Constituição Fed</w:t>
      </w:r>
      <w:r w:rsidRPr="00E4497A">
        <w:rPr>
          <w:color w:val="auto"/>
        </w:rPr>
        <w:t>e</w:t>
      </w:r>
      <w:r w:rsidRPr="00E4497A">
        <w:rPr>
          <w:color w:val="auto"/>
        </w:rPr>
        <w:t>ral, nos termos da Lei Federal nº 9.854/99, art. 1º, na forma seguinte:</w:t>
      </w:r>
    </w:p>
    <w:p w:rsidR="00BB70BB" w:rsidRPr="00E4497A" w:rsidRDefault="00BB70BB" w:rsidP="00F8088F">
      <w:pPr>
        <w:pStyle w:val="Default"/>
        <w:ind w:left="567"/>
        <w:jc w:val="both"/>
        <w:rPr>
          <w:b/>
          <w:bCs/>
          <w:color w:val="auto"/>
        </w:rPr>
      </w:pPr>
    </w:p>
    <w:p w:rsidR="00F8088F" w:rsidRPr="00E4497A" w:rsidRDefault="00F8088F" w:rsidP="00F8088F">
      <w:pPr>
        <w:pStyle w:val="Default"/>
        <w:ind w:left="567"/>
        <w:jc w:val="both"/>
        <w:rPr>
          <w:color w:val="auto"/>
        </w:rPr>
      </w:pPr>
      <w:r w:rsidRPr="00E4497A">
        <w:rPr>
          <w:b/>
          <w:bCs/>
          <w:color w:val="auto"/>
        </w:rPr>
        <w:t>“Declaramos para fins de licitação junto ao Tribunal de Contas do Estado de Goiás e sob as penas da lei, não ter em nosso quadro de empregados qualquer trabalhador menor de 16 (dezesseis) anos de idade, exceto maiores de 14 (qu</w:t>
      </w:r>
      <w:r w:rsidRPr="00E4497A">
        <w:rPr>
          <w:b/>
          <w:bCs/>
          <w:color w:val="auto"/>
        </w:rPr>
        <w:t>a</w:t>
      </w:r>
      <w:r w:rsidRPr="00E4497A">
        <w:rPr>
          <w:b/>
          <w:bCs/>
          <w:color w:val="auto"/>
        </w:rPr>
        <w:t>torze) anos, na condição de aprendiz. Declaramos ainda que nenhum trabalh</w:t>
      </w:r>
      <w:r w:rsidRPr="00E4497A">
        <w:rPr>
          <w:b/>
          <w:bCs/>
          <w:color w:val="auto"/>
        </w:rPr>
        <w:t>a</w:t>
      </w:r>
      <w:r w:rsidRPr="00E4497A">
        <w:rPr>
          <w:b/>
          <w:bCs/>
          <w:color w:val="auto"/>
        </w:rPr>
        <w:t>dor menor de 18 (dezoito) anos exerce trabalho noturno, perigoso ou insalubre em nossa empresa.”</w:t>
      </w:r>
    </w:p>
    <w:p w:rsidR="00F8088F" w:rsidRPr="00E4497A" w:rsidRDefault="00F8088F" w:rsidP="00F8088F">
      <w:pPr>
        <w:pStyle w:val="Default"/>
        <w:jc w:val="both"/>
        <w:rPr>
          <w:b/>
          <w:bCs/>
          <w:color w:val="auto"/>
        </w:rPr>
      </w:pPr>
    </w:p>
    <w:p w:rsidR="00F8088F" w:rsidRPr="00E4497A" w:rsidRDefault="00F8088F" w:rsidP="00F8088F">
      <w:pPr>
        <w:pStyle w:val="Default"/>
        <w:jc w:val="both"/>
        <w:rPr>
          <w:color w:val="auto"/>
        </w:rPr>
      </w:pPr>
      <w:r w:rsidRPr="00E4497A">
        <w:rPr>
          <w:b/>
          <w:bCs/>
          <w:color w:val="auto"/>
        </w:rPr>
        <w:t xml:space="preserve">6.6. </w:t>
      </w:r>
      <w:r w:rsidRPr="00E4497A">
        <w:rPr>
          <w:color w:val="auto"/>
        </w:rPr>
        <w:t>Declaração da proponente, sob as penalidades cabíveis, da inexistência de fato s</w:t>
      </w:r>
      <w:r w:rsidRPr="00E4497A">
        <w:rPr>
          <w:color w:val="auto"/>
        </w:rPr>
        <w:t>u</w:t>
      </w:r>
      <w:r w:rsidRPr="00E4497A">
        <w:rPr>
          <w:color w:val="auto"/>
        </w:rPr>
        <w:t xml:space="preserve">perveniente que possa impedir a sua habilitação neste certame. </w:t>
      </w:r>
    </w:p>
    <w:p w:rsidR="00F8088F" w:rsidRPr="00E4497A" w:rsidRDefault="00F8088F" w:rsidP="00F8088F">
      <w:pPr>
        <w:pStyle w:val="Default"/>
        <w:jc w:val="both"/>
        <w:rPr>
          <w:b/>
          <w:bCs/>
          <w:color w:val="auto"/>
        </w:rPr>
      </w:pPr>
    </w:p>
    <w:p w:rsidR="00F8088F" w:rsidRPr="00E4497A" w:rsidRDefault="00F8088F" w:rsidP="00B449F3">
      <w:pPr>
        <w:pStyle w:val="Default"/>
        <w:jc w:val="both"/>
        <w:rPr>
          <w:color w:val="auto"/>
        </w:rPr>
      </w:pPr>
      <w:r w:rsidRPr="00E4497A">
        <w:rPr>
          <w:b/>
          <w:bCs/>
          <w:color w:val="auto"/>
        </w:rPr>
        <w:t xml:space="preserve">6.7. </w:t>
      </w:r>
      <w:r w:rsidRPr="00E4497A">
        <w:rPr>
          <w:color w:val="auto"/>
        </w:rPr>
        <w:t>Declaração da proponente, de não possuir vínculo com Conselheiros e Auditores do Tribunal de Contas do Estado de Goiás.</w:t>
      </w:r>
    </w:p>
    <w:p w:rsidR="00BB70BB" w:rsidRPr="00E4497A" w:rsidRDefault="00BB70BB" w:rsidP="00B449F3">
      <w:pPr>
        <w:pStyle w:val="Default"/>
        <w:jc w:val="both"/>
        <w:rPr>
          <w:b/>
        </w:rPr>
      </w:pPr>
    </w:p>
    <w:p w:rsidR="00BB70BB" w:rsidRPr="00E4497A" w:rsidRDefault="00BB70BB" w:rsidP="00B449F3">
      <w:pPr>
        <w:pStyle w:val="Default"/>
        <w:jc w:val="both"/>
        <w:rPr>
          <w:color w:val="auto"/>
        </w:rPr>
      </w:pPr>
      <w:r w:rsidRPr="00E4497A">
        <w:rPr>
          <w:b/>
        </w:rPr>
        <w:t>6.8</w:t>
      </w:r>
      <w:r w:rsidRPr="00E4497A">
        <w:t xml:space="preserve"> Havendo alguma microempresa e empresa de pequeno porte, por ocasião da partic</w:t>
      </w:r>
      <w:r w:rsidRPr="00E4497A">
        <w:t>i</w:t>
      </w:r>
      <w:r w:rsidRPr="00E4497A">
        <w:t>pação neste certame, deverão apresentar toda a documentação exigida para fins de co</w:t>
      </w:r>
      <w:r w:rsidRPr="00E4497A">
        <w:t>m</w:t>
      </w:r>
      <w:r w:rsidRPr="00E4497A">
        <w:t>provação de restrição na comprovação da regularidade fiscal. Será assegurado o prazo de 02 (dois) dias úteis, cujo termo inicial corresponderá ao momento em que o proponente for declarado o vencedor do certame, prorrogáveis por igual período, a critério da Adm</w:t>
      </w:r>
      <w:r w:rsidRPr="00E4497A">
        <w:t>i</w:t>
      </w:r>
      <w:r w:rsidRPr="00E4497A">
        <w:t>nistração Pública, para a regularização da documentação, pagamento ou parcelamento do débito, e emissão de eventuais certidões negativas ou positivas com efeito de certidão negativa. A não regularização da documentação, no prazo previsto no § 1º do art. 43, da Lei Complementar 123/2006, implicará decadência do direito à contratação, sem prejuízo das sanções previstas no Art. 81 da Lei Federal nº 8.666, de 21 de junho de 1993, sendo facultado à Administração convocar os licitantes remanescentes, na ordem de classific</w:t>
      </w:r>
      <w:r w:rsidRPr="00E4497A">
        <w:t>a</w:t>
      </w:r>
      <w:r w:rsidRPr="00E4497A">
        <w:t>ção, para a assinatura do contrato, ou revogar a licitação.</w:t>
      </w:r>
    </w:p>
    <w:p w:rsidR="00F8088F" w:rsidRPr="00E4497A" w:rsidRDefault="00F8088F" w:rsidP="00B449F3">
      <w:pPr>
        <w:pStyle w:val="Default"/>
        <w:jc w:val="both"/>
        <w:rPr>
          <w:b/>
          <w:bCs/>
          <w:color w:val="auto"/>
        </w:rPr>
      </w:pPr>
    </w:p>
    <w:p w:rsidR="00F8088F" w:rsidRPr="00E4497A" w:rsidRDefault="00F8088F" w:rsidP="00B449F3">
      <w:pPr>
        <w:pStyle w:val="Default"/>
        <w:jc w:val="both"/>
        <w:rPr>
          <w:color w:val="auto"/>
        </w:rPr>
      </w:pPr>
      <w:r w:rsidRPr="00E4497A">
        <w:rPr>
          <w:b/>
          <w:bCs/>
          <w:color w:val="auto"/>
        </w:rPr>
        <w:t xml:space="preserve">7. </w:t>
      </w:r>
      <w:r w:rsidRPr="00E4497A">
        <w:rPr>
          <w:color w:val="auto"/>
        </w:rPr>
        <w:t xml:space="preserve">Os documentos exigidos nos </w:t>
      </w:r>
      <w:proofErr w:type="spellStart"/>
      <w:proofErr w:type="gramStart"/>
      <w:r w:rsidRPr="00E4497A">
        <w:rPr>
          <w:color w:val="auto"/>
        </w:rPr>
        <w:t>sub-itens</w:t>
      </w:r>
      <w:proofErr w:type="spellEnd"/>
      <w:proofErr w:type="gramEnd"/>
      <w:r w:rsidRPr="00E4497A">
        <w:rPr>
          <w:color w:val="auto"/>
        </w:rPr>
        <w:t xml:space="preserve"> 6.2, letras “b” a “f” e 6.4, letra “a”, deste edital, terão seus prazos de validade adstritos aos estabelecidos pelos respectivos órgãos exp</w:t>
      </w:r>
      <w:r w:rsidRPr="00E4497A">
        <w:rPr>
          <w:color w:val="auto"/>
        </w:rPr>
        <w:t>e</w:t>
      </w:r>
      <w:r w:rsidRPr="00E4497A">
        <w:rPr>
          <w:color w:val="auto"/>
        </w:rPr>
        <w:t xml:space="preserve">didores. Caso não apresentem prazo de validade, </w:t>
      </w:r>
      <w:r w:rsidRPr="00E4497A">
        <w:rPr>
          <w:b/>
          <w:bCs/>
          <w:color w:val="auto"/>
        </w:rPr>
        <w:t xml:space="preserve">somente serão aceitos se expedidos num período máximo de 60 (sessenta) dias antecedentes </w:t>
      </w:r>
      <w:r w:rsidRPr="00E4497A">
        <w:rPr>
          <w:color w:val="auto"/>
        </w:rPr>
        <w:t>à abertura dos envelopes de habilitação.</w:t>
      </w:r>
    </w:p>
    <w:p w:rsidR="00B449F3" w:rsidRPr="00E4497A" w:rsidRDefault="00B449F3" w:rsidP="00B449F3">
      <w:pPr>
        <w:pStyle w:val="Default"/>
        <w:jc w:val="both"/>
        <w:rPr>
          <w:b/>
          <w:bCs/>
          <w:color w:val="auto"/>
        </w:rPr>
      </w:pPr>
    </w:p>
    <w:p w:rsidR="00C20671" w:rsidRPr="00E4497A" w:rsidRDefault="00F8088F" w:rsidP="00B449F3">
      <w:pPr>
        <w:pStyle w:val="Default"/>
        <w:jc w:val="both"/>
      </w:pPr>
      <w:r w:rsidRPr="00E4497A">
        <w:rPr>
          <w:b/>
          <w:bCs/>
          <w:color w:val="auto"/>
        </w:rPr>
        <w:lastRenderedPageBreak/>
        <w:t xml:space="preserve">8. </w:t>
      </w:r>
      <w:r w:rsidRPr="00E4497A">
        <w:rPr>
          <w:color w:val="auto"/>
        </w:rPr>
        <w:t>Os documentos de habilitação deverão ser apresentados por cópias autenticadas ou publicados em órgão de imprensa oficial. Caso sejam apresentados</w:t>
      </w:r>
      <w:r w:rsidR="00B449F3" w:rsidRPr="00E4497A">
        <w:rPr>
          <w:color w:val="auto"/>
        </w:rPr>
        <w:t xml:space="preserve"> </w:t>
      </w:r>
      <w:r w:rsidRPr="00E4497A">
        <w:rPr>
          <w:color w:val="auto"/>
        </w:rPr>
        <w:t>documentos originais, os mesmos ficarão retidos no processo.</w:t>
      </w:r>
    </w:p>
    <w:p w:rsidR="00C20671" w:rsidRPr="00E4497A" w:rsidRDefault="00C20671" w:rsidP="00B449F3">
      <w:pPr>
        <w:pStyle w:val="Standard"/>
        <w:suppressAutoHyphens w:val="0"/>
        <w:autoSpaceDE w:val="0"/>
        <w:jc w:val="both"/>
        <w:rPr>
          <w:rFonts w:ascii="Arial" w:hAnsi="Arial" w:cs="Arial"/>
        </w:rPr>
      </w:pPr>
    </w:p>
    <w:p w:rsidR="00B449F3" w:rsidRPr="00E4497A" w:rsidRDefault="00B449F3" w:rsidP="00B449F3">
      <w:pPr>
        <w:pStyle w:val="Default"/>
        <w:jc w:val="both"/>
        <w:rPr>
          <w:color w:val="auto"/>
        </w:rPr>
      </w:pPr>
      <w:r w:rsidRPr="00E4497A">
        <w:rPr>
          <w:b/>
          <w:bCs/>
          <w:color w:val="auto"/>
        </w:rPr>
        <w:t xml:space="preserve">9. </w:t>
      </w:r>
      <w:r w:rsidRPr="00E4497A">
        <w:rPr>
          <w:color w:val="auto"/>
        </w:rPr>
        <w:t>Os documentos a serem autenticados na Secretaria da Comissão Permanente de Lic</w:t>
      </w:r>
      <w:r w:rsidRPr="00E4497A">
        <w:rPr>
          <w:color w:val="auto"/>
        </w:rPr>
        <w:t>i</w:t>
      </w:r>
      <w:r w:rsidRPr="00E4497A">
        <w:rPr>
          <w:color w:val="auto"/>
        </w:rPr>
        <w:t>tação, deverão ser apresentados, para tal, impreterivelmente, até o segundo dia útil ant</w:t>
      </w:r>
      <w:r w:rsidRPr="00E4497A">
        <w:rPr>
          <w:color w:val="auto"/>
        </w:rPr>
        <w:t>e</w:t>
      </w:r>
      <w:r w:rsidRPr="00E4497A">
        <w:rPr>
          <w:color w:val="auto"/>
        </w:rPr>
        <w:t>rior à abertura dos envelopes de documentação. Para tanto, a Secretaria da Comissão estará funcionando nos dias úteis, das 08h00 às 17h00.</w:t>
      </w:r>
    </w:p>
    <w:p w:rsidR="00B449F3" w:rsidRPr="00E4497A" w:rsidRDefault="00B449F3" w:rsidP="00B449F3">
      <w:pPr>
        <w:pStyle w:val="Default"/>
        <w:jc w:val="both"/>
        <w:rPr>
          <w:b/>
          <w:bCs/>
          <w:color w:val="auto"/>
        </w:rPr>
      </w:pPr>
    </w:p>
    <w:p w:rsidR="00B449F3" w:rsidRPr="00E4497A" w:rsidRDefault="00B449F3" w:rsidP="00B449F3">
      <w:pPr>
        <w:pStyle w:val="Default"/>
        <w:jc w:val="both"/>
        <w:rPr>
          <w:color w:val="auto"/>
        </w:rPr>
      </w:pPr>
      <w:r w:rsidRPr="00E4497A">
        <w:rPr>
          <w:b/>
          <w:bCs/>
          <w:color w:val="auto"/>
        </w:rPr>
        <w:t xml:space="preserve">10. </w:t>
      </w:r>
      <w:r w:rsidRPr="00E4497A">
        <w:rPr>
          <w:color w:val="auto"/>
        </w:rPr>
        <w:t>Não será concedido prazo para apresentação de documentos que não forem entr</w:t>
      </w:r>
      <w:r w:rsidRPr="00E4497A">
        <w:rPr>
          <w:color w:val="auto"/>
        </w:rPr>
        <w:t>e</w:t>
      </w:r>
      <w:r w:rsidRPr="00E4497A">
        <w:rPr>
          <w:color w:val="auto"/>
        </w:rPr>
        <w:t>gues envelopados no momento da habilitação.</w:t>
      </w:r>
    </w:p>
    <w:p w:rsidR="00B449F3" w:rsidRPr="00E4497A" w:rsidRDefault="00B449F3" w:rsidP="00B449F3">
      <w:pPr>
        <w:pStyle w:val="Default"/>
        <w:jc w:val="both"/>
        <w:rPr>
          <w:b/>
          <w:bCs/>
          <w:color w:val="auto"/>
        </w:rPr>
      </w:pPr>
    </w:p>
    <w:p w:rsidR="00B449F3" w:rsidRPr="00E4497A" w:rsidRDefault="00B449F3" w:rsidP="00B449F3">
      <w:pPr>
        <w:pStyle w:val="Default"/>
        <w:jc w:val="both"/>
        <w:rPr>
          <w:color w:val="auto"/>
        </w:rPr>
      </w:pPr>
      <w:r w:rsidRPr="00E4497A">
        <w:rPr>
          <w:b/>
          <w:bCs/>
          <w:color w:val="auto"/>
        </w:rPr>
        <w:t xml:space="preserve">11. </w:t>
      </w:r>
      <w:r w:rsidRPr="00E4497A">
        <w:rPr>
          <w:color w:val="auto"/>
        </w:rPr>
        <w:t>Nenhuma pessoa física, ainda que credenciada por procuração pública, poderá repr</w:t>
      </w:r>
      <w:r w:rsidRPr="00E4497A">
        <w:rPr>
          <w:color w:val="auto"/>
        </w:rPr>
        <w:t>e</w:t>
      </w:r>
      <w:r w:rsidRPr="00E4497A">
        <w:rPr>
          <w:color w:val="auto"/>
        </w:rPr>
        <w:t>sentar mais de uma empresa.</w:t>
      </w:r>
    </w:p>
    <w:p w:rsidR="00B449F3" w:rsidRPr="00E4497A" w:rsidRDefault="00B449F3" w:rsidP="00B449F3">
      <w:pPr>
        <w:pStyle w:val="Default"/>
        <w:jc w:val="both"/>
        <w:rPr>
          <w:b/>
          <w:bCs/>
          <w:color w:val="auto"/>
        </w:rPr>
      </w:pPr>
    </w:p>
    <w:p w:rsidR="00B449F3" w:rsidRPr="00E4497A" w:rsidRDefault="00B449F3" w:rsidP="00B449F3">
      <w:pPr>
        <w:pStyle w:val="Default"/>
        <w:jc w:val="both"/>
        <w:rPr>
          <w:color w:val="auto"/>
        </w:rPr>
      </w:pPr>
      <w:r w:rsidRPr="00E4497A">
        <w:rPr>
          <w:b/>
          <w:bCs/>
          <w:color w:val="auto"/>
        </w:rPr>
        <w:t xml:space="preserve">12. </w:t>
      </w:r>
      <w:r w:rsidRPr="00E4497A">
        <w:rPr>
          <w:color w:val="auto"/>
        </w:rPr>
        <w:t xml:space="preserve">É </w:t>
      </w:r>
      <w:proofErr w:type="gramStart"/>
      <w:r w:rsidRPr="00E4497A">
        <w:rPr>
          <w:color w:val="auto"/>
        </w:rPr>
        <w:t>facultado</w:t>
      </w:r>
      <w:proofErr w:type="gramEnd"/>
      <w:r w:rsidRPr="00E4497A">
        <w:rPr>
          <w:color w:val="auto"/>
        </w:rPr>
        <w:t xml:space="preserve"> aos interessados a participação nas sessões por seu representante legal ou especificamente nomeado. A não apresentação do documento de credenciamento (procuração), ou a incorreção deste, não inabilitará o interessado, mas impedirá o repr</w:t>
      </w:r>
      <w:r w:rsidRPr="00E4497A">
        <w:rPr>
          <w:color w:val="auto"/>
        </w:rPr>
        <w:t>e</w:t>
      </w:r>
      <w:r w:rsidRPr="00E4497A">
        <w:rPr>
          <w:color w:val="auto"/>
        </w:rPr>
        <w:t>sentante de se manifestar e responder pela firma participante.</w:t>
      </w:r>
    </w:p>
    <w:p w:rsidR="00B449F3" w:rsidRPr="00E4497A" w:rsidRDefault="00B449F3" w:rsidP="00B449F3">
      <w:pPr>
        <w:pStyle w:val="Default"/>
        <w:jc w:val="both"/>
        <w:rPr>
          <w:color w:val="auto"/>
        </w:rPr>
      </w:pPr>
    </w:p>
    <w:p w:rsidR="00B449F3" w:rsidRPr="00E4497A" w:rsidRDefault="00B449F3" w:rsidP="00B449F3">
      <w:pPr>
        <w:pStyle w:val="Default"/>
        <w:jc w:val="both"/>
        <w:rPr>
          <w:color w:val="auto"/>
        </w:rPr>
      </w:pPr>
      <w:r w:rsidRPr="00E4497A">
        <w:rPr>
          <w:b/>
          <w:bCs/>
          <w:color w:val="auto"/>
        </w:rPr>
        <w:t xml:space="preserve">13. </w:t>
      </w:r>
      <w:r w:rsidRPr="00E4497A">
        <w:rPr>
          <w:color w:val="auto"/>
        </w:rPr>
        <w:t>Os interessados que não enviarem representante à reunião de abertura dos envel</w:t>
      </w:r>
      <w:r w:rsidRPr="00E4497A">
        <w:rPr>
          <w:color w:val="auto"/>
        </w:rPr>
        <w:t>o</w:t>
      </w:r>
      <w:r w:rsidRPr="00E4497A">
        <w:rPr>
          <w:color w:val="auto"/>
        </w:rPr>
        <w:t>pes de habilitação deverão, no mesmo envelope, enviar DECLARAÇÃO DE RENÚNCIA à faculdade recursal prevista no artigo 109 da Lei nº 8.666/93, nos seguintes termos:</w:t>
      </w:r>
    </w:p>
    <w:p w:rsidR="00B449F3" w:rsidRPr="00E4497A" w:rsidRDefault="00B449F3" w:rsidP="00B449F3">
      <w:pPr>
        <w:pStyle w:val="Default"/>
      </w:pPr>
    </w:p>
    <w:p w:rsidR="00B449F3" w:rsidRPr="00E4497A" w:rsidRDefault="00B449F3" w:rsidP="00B449F3">
      <w:pPr>
        <w:pStyle w:val="Default"/>
        <w:ind w:left="567"/>
        <w:jc w:val="both"/>
        <w:rPr>
          <w:color w:val="auto"/>
        </w:rPr>
      </w:pPr>
      <w:r w:rsidRPr="00E4497A">
        <w:rPr>
          <w:b/>
          <w:bCs/>
          <w:color w:val="auto"/>
        </w:rPr>
        <w:t>“Pela presente, renunciamos ao direito de recorrer das decisões da Comissão Especial de Licitação do Tribunal de Contas do Estado de Goiás na reunião de abertura da documentação de habilitação, nos termos do artigo 43, III, da Lei 8.666/93.”</w:t>
      </w:r>
    </w:p>
    <w:p w:rsidR="00B449F3" w:rsidRPr="00E4497A" w:rsidRDefault="00B449F3" w:rsidP="00B449F3">
      <w:pPr>
        <w:pStyle w:val="Default"/>
        <w:rPr>
          <w:b/>
          <w:bCs/>
          <w:color w:val="auto"/>
        </w:rPr>
      </w:pPr>
    </w:p>
    <w:p w:rsidR="00B449F3" w:rsidRPr="00E4497A" w:rsidRDefault="00B449F3" w:rsidP="00B449F3">
      <w:pPr>
        <w:pStyle w:val="Default"/>
        <w:jc w:val="both"/>
        <w:rPr>
          <w:color w:val="auto"/>
        </w:rPr>
      </w:pPr>
      <w:r w:rsidRPr="00E4497A">
        <w:rPr>
          <w:b/>
          <w:bCs/>
          <w:color w:val="auto"/>
        </w:rPr>
        <w:t xml:space="preserve">14. </w:t>
      </w:r>
      <w:r w:rsidRPr="00E4497A">
        <w:rPr>
          <w:color w:val="auto"/>
        </w:rPr>
        <w:t>Uma vez encerrado o prazo de entrega dos envelopes contendo a documentação e as propostas, não serão aceitas participações de retardatários, nem serão admitidas quai</w:t>
      </w:r>
      <w:r w:rsidRPr="00E4497A">
        <w:rPr>
          <w:color w:val="auto"/>
        </w:rPr>
        <w:t>s</w:t>
      </w:r>
      <w:r w:rsidRPr="00E4497A">
        <w:rPr>
          <w:color w:val="auto"/>
        </w:rPr>
        <w:t>quer alterações ou complementações do conteúdo dos mesmos.</w:t>
      </w:r>
    </w:p>
    <w:p w:rsidR="00B449F3" w:rsidRPr="00E4497A" w:rsidRDefault="00B449F3" w:rsidP="00B449F3">
      <w:pPr>
        <w:pStyle w:val="Default"/>
        <w:jc w:val="both"/>
        <w:rPr>
          <w:b/>
          <w:bCs/>
          <w:color w:val="auto"/>
        </w:rPr>
      </w:pPr>
    </w:p>
    <w:p w:rsidR="00B449F3" w:rsidRPr="00E4497A" w:rsidRDefault="00B449F3" w:rsidP="00B449F3">
      <w:pPr>
        <w:pStyle w:val="Default"/>
        <w:jc w:val="both"/>
        <w:rPr>
          <w:color w:val="auto"/>
        </w:rPr>
      </w:pPr>
      <w:r w:rsidRPr="00E4497A">
        <w:rPr>
          <w:b/>
          <w:bCs/>
          <w:color w:val="auto"/>
        </w:rPr>
        <w:t xml:space="preserve">15. </w:t>
      </w:r>
      <w:r w:rsidRPr="00E4497A">
        <w:rPr>
          <w:color w:val="auto"/>
        </w:rPr>
        <w:t>Serão inabilitados os interessados cuja documentação estiver em desacordo com as condições e especificações deste edital e/ou da Lei Federal 8.666/93, com as modific</w:t>
      </w:r>
      <w:r w:rsidRPr="00E4497A">
        <w:rPr>
          <w:color w:val="auto"/>
        </w:rPr>
        <w:t>a</w:t>
      </w:r>
      <w:r w:rsidRPr="00E4497A">
        <w:rPr>
          <w:color w:val="auto"/>
        </w:rPr>
        <w:t>ções posteriores.</w:t>
      </w:r>
    </w:p>
    <w:p w:rsidR="00B449F3" w:rsidRPr="00E4497A" w:rsidRDefault="00B449F3" w:rsidP="00B449F3">
      <w:pPr>
        <w:pStyle w:val="Default"/>
        <w:jc w:val="both"/>
        <w:rPr>
          <w:b/>
          <w:bCs/>
          <w:color w:val="auto"/>
        </w:rPr>
      </w:pPr>
    </w:p>
    <w:p w:rsidR="00B449F3" w:rsidRPr="00E4497A" w:rsidRDefault="00B449F3" w:rsidP="00B449F3">
      <w:pPr>
        <w:pStyle w:val="Default"/>
        <w:jc w:val="both"/>
        <w:rPr>
          <w:color w:val="auto"/>
        </w:rPr>
      </w:pPr>
      <w:r w:rsidRPr="00E4497A">
        <w:rPr>
          <w:b/>
          <w:bCs/>
          <w:color w:val="auto"/>
        </w:rPr>
        <w:t xml:space="preserve">16. </w:t>
      </w:r>
      <w:r w:rsidRPr="00E4497A">
        <w:rPr>
          <w:color w:val="auto"/>
        </w:rPr>
        <w:t>Poderão ser desclassificados licitantes, sem direito a indenização ou qualquer ressa</w:t>
      </w:r>
      <w:r w:rsidRPr="00E4497A">
        <w:rPr>
          <w:color w:val="auto"/>
        </w:rPr>
        <w:t>r</w:t>
      </w:r>
      <w:r w:rsidRPr="00E4497A">
        <w:rPr>
          <w:color w:val="auto"/>
        </w:rPr>
        <w:t>cimento, e sem prejuízo de outras sanções cabíveis, se o Tribunal de Contas do Estado de Goiás tiver conhecimento de quaisquer fatos ou circunstâncias anteriores ou posteri</w:t>
      </w:r>
      <w:r w:rsidRPr="00E4497A">
        <w:rPr>
          <w:color w:val="auto"/>
        </w:rPr>
        <w:t>o</w:t>
      </w:r>
      <w:r w:rsidRPr="00E4497A">
        <w:rPr>
          <w:color w:val="auto"/>
        </w:rPr>
        <w:t>res ao julgamento da licitação, que desabonem sua idoneidade, capacidade financeira, técnica ou administrativa.</w:t>
      </w:r>
    </w:p>
    <w:p w:rsidR="00B449F3" w:rsidRPr="00E4497A" w:rsidRDefault="00B449F3" w:rsidP="00B449F3">
      <w:pPr>
        <w:pStyle w:val="Default"/>
        <w:jc w:val="both"/>
        <w:rPr>
          <w:b/>
          <w:bCs/>
          <w:color w:val="auto"/>
        </w:rPr>
      </w:pPr>
    </w:p>
    <w:p w:rsidR="00B449F3" w:rsidRPr="00E4497A" w:rsidRDefault="00B449F3" w:rsidP="00B449F3">
      <w:pPr>
        <w:pStyle w:val="Default"/>
        <w:jc w:val="both"/>
      </w:pPr>
      <w:r w:rsidRPr="00E4497A">
        <w:rPr>
          <w:b/>
          <w:bCs/>
          <w:color w:val="auto"/>
        </w:rPr>
        <w:t>17. Será vetada a participação do interessado ou licitante que tiver sido declarado inidôneo por qualquer órgão ou entidade do Governo Federal, Estadual, Municipal ou do Distrito Federal. O veto poderá ocorrer em qualquer das fases da licitação.</w:t>
      </w:r>
    </w:p>
    <w:p w:rsidR="00B449F3" w:rsidRPr="00E4497A" w:rsidRDefault="00B449F3" w:rsidP="00C20671">
      <w:pPr>
        <w:pStyle w:val="Standard"/>
        <w:suppressAutoHyphens w:val="0"/>
        <w:autoSpaceDE w:val="0"/>
        <w:jc w:val="both"/>
        <w:rPr>
          <w:rFonts w:ascii="Arial" w:hAnsi="Arial" w:cs="Arial"/>
        </w:rPr>
      </w:pPr>
    </w:p>
    <w:p w:rsidR="00B449F3" w:rsidRPr="00E4497A" w:rsidRDefault="00B449F3" w:rsidP="00B449F3">
      <w:pPr>
        <w:pStyle w:val="Default"/>
      </w:pPr>
    </w:p>
    <w:p w:rsidR="00B449F3" w:rsidRPr="00E4497A" w:rsidRDefault="00B449F3" w:rsidP="00B449F3">
      <w:pPr>
        <w:pStyle w:val="Default"/>
        <w:jc w:val="center"/>
        <w:rPr>
          <w:color w:val="auto"/>
        </w:rPr>
      </w:pPr>
      <w:r w:rsidRPr="00E4497A">
        <w:rPr>
          <w:b/>
          <w:bCs/>
          <w:color w:val="auto"/>
        </w:rPr>
        <w:t xml:space="preserve">DA PROPOSTA DE </w:t>
      </w:r>
      <w:proofErr w:type="gramStart"/>
      <w:r w:rsidRPr="00E4497A">
        <w:rPr>
          <w:b/>
          <w:bCs/>
          <w:color w:val="auto"/>
        </w:rPr>
        <w:t>PREÇO –ENVELOPE</w:t>
      </w:r>
      <w:proofErr w:type="gramEnd"/>
      <w:r w:rsidRPr="00E4497A">
        <w:rPr>
          <w:b/>
          <w:bCs/>
          <w:color w:val="auto"/>
        </w:rPr>
        <w:t xml:space="preserve"> “B”</w:t>
      </w:r>
    </w:p>
    <w:p w:rsidR="00B449F3" w:rsidRDefault="00B449F3" w:rsidP="00B449F3">
      <w:pPr>
        <w:pStyle w:val="Default"/>
        <w:rPr>
          <w:b/>
          <w:bCs/>
          <w:color w:val="auto"/>
        </w:rPr>
      </w:pPr>
    </w:p>
    <w:p w:rsidR="00E4497A" w:rsidRPr="00E4497A" w:rsidRDefault="00E4497A" w:rsidP="00B449F3">
      <w:pPr>
        <w:pStyle w:val="Default"/>
        <w:rPr>
          <w:b/>
          <w:bCs/>
          <w:color w:val="auto"/>
        </w:rPr>
      </w:pPr>
    </w:p>
    <w:p w:rsidR="00B449F3" w:rsidRPr="00E4497A" w:rsidRDefault="00B449F3" w:rsidP="00B449F3">
      <w:pPr>
        <w:pStyle w:val="Default"/>
        <w:jc w:val="both"/>
        <w:rPr>
          <w:color w:val="auto"/>
        </w:rPr>
      </w:pPr>
      <w:r w:rsidRPr="00E4497A">
        <w:rPr>
          <w:b/>
          <w:bCs/>
          <w:color w:val="auto"/>
        </w:rPr>
        <w:t xml:space="preserve">18. </w:t>
      </w:r>
      <w:r w:rsidRPr="00E4497A">
        <w:rPr>
          <w:color w:val="auto"/>
        </w:rPr>
        <w:t xml:space="preserve">A proposta deverá ser elaborada em </w:t>
      </w:r>
      <w:proofErr w:type="gramStart"/>
      <w:r w:rsidRPr="00E4497A">
        <w:rPr>
          <w:color w:val="auto"/>
        </w:rPr>
        <w:t>1</w:t>
      </w:r>
      <w:proofErr w:type="gramEnd"/>
      <w:r w:rsidRPr="00E4497A">
        <w:rPr>
          <w:color w:val="auto"/>
        </w:rPr>
        <w:t xml:space="preserve"> (uma) via, datilografada ou impressa em papel timbrado da empresa ou em formato A4, com carimbo contendo o CNPJ da mesma, em linguagem clara, sem emendas, rasuras ou entrelinhas, devidamente assinada.</w:t>
      </w:r>
    </w:p>
    <w:p w:rsidR="00B449F3" w:rsidRPr="00E4497A" w:rsidRDefault="00B449F3" w:rsidP="00B449F3">
      <w:pPr>
        <w:pStyle w:val="Default"/>
        <w:jc w:val="both"/>
        <w:rPr>
          <w:b/>
          <w:bCs/>
          <w:color w:val="auto"/>
        </w:rPr>
      </w:pPr>
    </w:p>
    <w:p w:rsidR="00B449F3" w:rsidRPr="00E4497A" w:rsidRDefault="00B449F3" w:rsidP="00B449F3">
      <w:pPr>
        <w:pStyle w:val="Default"/>
        <w:jc w:val="both"/>
        <w:rPr>
          <w:b/>
          <w:bCs/>
          <w:color w:val="auto"/>
        </w:rPr>
      </w:pPr>
      <w:r w:rsidRPr="00E4497A">
        <w:rPr>
          <w:b/>
          <w:bCs/>
          <w:color w:val="auto"/>
        </w:rPr>
        <w:t>19. A proposta de preço deverá conter:</w:t>
      </w:r>
    </w:p>
    <w:p w:rsidR="00B449F3" w:rsidRPr="00E4497A" w:rsidRDefault="00B449F3" w:rsidP="00B449F3">
      <w:pPr>
        <w:pStyle w:val="Default"/>
        <w:jc w:val="both"/>
        <w:rPr>
          <w:color w:val="auto"/>
        </w:rPr>
      </w:pPr>
    </w:p>
    <w:p w:rsidR="00B449F3" w:rsidRPr="00E4497A" w:rsidRDefault="00B449F3" w:rsidP="00B449F3">
      <w:pPr>
        <w:pStyle w:val="Default"/>
        <w:ind w:left="851"/>
        <w:jc w:val="both"/>
        <w:rPr>
          <w:color w:val="auto"/>
        </w:rPr>
      </w:pPr>
      <w:r w:rsidRPr="00E4497A">
        <w:rPr>
          <w:b/>
          <w:bCs/>
          <w:color w:val="auto"/>
        </w:rPr>
        <w:t xml:space="preserve">a) </w:t>
      </w:r>
      <w:r w:rsidRPr="00E4497A">
        <w:rPr>
          <w:color w:val="auto"/>
        </w:rPr>
        <w:t>razão social, CNPJ, endereço completo, telefone, fax e endereço eletrônico (e-mail) da proponente, este último se houver, para contato;</w:t>
      </w:r>
    </w:p>
    <w:p w:rsidR="00B449F3" w:rsidRPr="00E4497A" w:rsidRDefault="00B449F3" w:rsidP="00B449F3">
      <w:pPr>
        <w:pStyle w:val="Default"/>
        <w:ind w:left="851"/>
        <w:jc w:val="both"/>
        <w:rPr>
          <w:color w:val="auto"/>
        </w:rPr>
      </w:pPr>
      <w:r w:rsidRPr="00E4497A">
        <w:rPr>
          <w:b/>
          <w:bCs/>
          <w:color w:val="auto"/>
        </w:rPr>
        <w:t xml:space="preserve">b) </w:t>
      </w:r>
      <w:r w:rsidRPr="00E4497A">
        <w:rPr>
          <w:color w:val="auto"/>
        </w:rPr>
        <w:t>descrição do objeto ofertado conforme especificações deste edital;</w:t>
      </w:r>
    </w:p>
    <w:p w:rsidR="00B449F3" w:rsidRPr="00E4497A" w:rsidRDefault="00B449F3" w:rsidP="00B449F3">
      <w:pPr>
        <w:pStyle w:val="Default"/>
        <w:ind w:left="851"/>
        <w:jc w:val="both"/>
        <w:rPr>
          <w:color w:val="auto"/>
        </w:rPr>
      </w:pPr>
      <w:r w:rsidRPr="00E4497A">
        <w:rPr>
          <w:b/>
          <w:bCs/>
          <w:color w:val="auto"/>
        </w:rPr>
        <w:t xml:space="preserve">c) </w:t>
      </w:r>
      <w:r w:rsidRPr="00E4497A">
        <w:rPr>
          <w:color w:val="auto"/>
        </w:rPr>
        <w:t>valor total da proposta, expresso em algarismos e por extenso;</w:t>
      </w:r>
    </w:p>
    <w:p w:rsidR="00B449F3" w:rsidRPr="00E4497A" w:rsidRDefault="00B449F3" w:rsidP="00B449F3">
      <w:pPr>
        <w:pStyle w:val="Default"/>
        <w:ind w:left="851"/>
        <w:jc w:val="both"/>
        <w:rPr>
          <w:color w:val="auto"/>
        </w:rPr>
      </w:pPr>
      <w:r w:rsidRPr="00E4497A">
        <w:rPr>
          <w:b/>
          <w:bCs/>
          <w:color w:val="auto"/>
        </w:rPr>
        <w:t xml:space="preserve">d) </w:t>
      </w:r>
      <w:r w:rsidRPr="00E4497A">
        <w:rPr>
          <w:color w:val="auto"/>
        </w:rPr>
        <w:t xml:space="preserve">prazos de execução em conformidade com o estipulado neste edital; </w:t>
      </w:r>
    </w:p>
    <w:p w:rsidR="00B449F3" w:rsidRPr="00E4497A" w:rsidRDefault="00B449F3" w:rsidP="00B449F3">
      <w:pPr>
        <w:pStyle w:val="Default"/>
        <w:ind w:left="851"/>
        <w:jc w:val="both"/>
        <w:rPr>
          <w:color w:val="auto"/>
        </w:rPr>
      </w:pPr>
      <w:r w:rsidRPr="00E4497A">
        <w:rPr>
          <w:b/>
          <w:bCs/>
          <w:color w:val="auto"/>
        </w:rPr>
        <w:t xml:space="preserve">e) </w:t>
      </w:r>
      <w:r w:rsidRPr="00E4497A">
        <w:rPr>
          <w:color w:val="auto"/>
        </w:rPr>
        <w:t xml:space="preserve">prazo de validade da proposta, que não poderá ser inferior a 60 (sessenta) dias, contados a partir da data da abertura dos envelopes de proposta de preço. </w:t>
      </w:r>
      <w:r w:rsidRPr="00E4497A">
        <w:rPr>
          <w:b/>
          <w:bCs/>
          <w:color w:val="auto"/>
        </w:rPr>
        <w:t>Caso não seja indicado, considerar-se-á válido por 60 (sessenta) dias</w:t>
      </w:r>
      <w:r w:rsidRPr="00E4497A">
        <w:rPr>
          <w:color w:val="auto"/>
        </w:rPr>
        <w:t>;</w:t>
      </w:r>
    </w:p>
    <w:p w:rsidR="00B449F3" w:rsidRPr="00E4497A" w:rsidRDefault="00B449F3" w:rsidP="00B449F3">
      <w:pPr>
        <w:pStyle w:val="Default"/>
        <w:ind w:left="851"/>
        <w:jc w:val="both"/>
        <w:rPr>
          <w:color w:val="auto"/>
        </w:rPr>
      </w:pPr>
      <w:r w:rsidRPr="00E4497A">
        <w:rPr>
          <w:b/>
          <w:bCs/>
          <w:color w:val="auto"/>
        </w:rPr>
        <w:t xml:space="preserve">f) </w:t>
      </w:r>
      <w:r w:rsidRPr="00E4497A">
        <w:rPr>
          <w:color w:val="auto"/>
        </w:rPr>
        <w:t xml:space="preserve">assinatura </w:t>
      </w:r>
      <w:proofErr w:type="gramStart"/>
      <w:r w:rsidRPr="00E4497A">
        <w:rPr>
          <w:color w:val="auto"/>
        </w:rPr>
        <w:t>da(</w:t>
      </w:r>
      <w:proofErr w:type="gramEnd"/>
      <w:r w:rsidRPr="00E4497A">
        <w:rPr>
          <w:color w:val="auto"/>
        </w:rPr>
        <w:t>s) pessoa(s) juridicamente habilitada(s).</w:t>
      </w:r>
    </w:p>
    <w:p w:rsidR="00B449F3" w:rsidRPr="00E4497A" w:rsidRDefault="00B449F3" w:rsidP="00B449F3">
      <w:pPr>
        <w:pStyle w:val="Default"/>
        <w:jc w:val="both"/>
        <w:rPr>
          <w:b/>
          <w:bCs/>
          <w:color w:val="auto"/>
        </w:rPr>
      </w:pPr>
    </w:p>
    <w:p w:rsidR="00B449F3" w:rsidRPr="00E4497A" w:rsidRDefault="00B449F3" w:rsidP="00B449F3">
      <w:pPr>
        <w:pStyle w:val="Default"/>
        <w:jc w:val="both"/>
      </w:pPr>
      <w:r w:rsidRPr="00E4497A">
        <w:rPr>
          <w:b/>
          <w:bCs/>
          <w:color w:val="auto"/>
        </w:rPr>
        <w:t>20. O valor total, constante da proposta, deverá englobar, além daquelas explicit</w:t>
      </w:r>
      <w:r w:rsidRPr="00E4497A">
        <w:rPr>
          <w:b/>
          <w:bCs/>
          <w:color w:val="auto"/>
        </w:rPr>
        <w:t>a</w:t>
      </w:r>
      <w:r w:rsidRPr="00E4497A">
        <w:rPr>
          <w:b/>
          <w:bCs/>
          <w:color w:val="auto"/>
        </w:rPr>
        <w:t>das neste edital, todas as despesas com materiais, equipamentos, mão-de-obra, transporte, ferramentas, encargos sociais, previdenciários, fiscais, trabalhistas e comerciais, seguros, tributos incidentes, e quaisquer outras despesas, diretas ou indiretas, geradas para a realização dos serviços técnicos objeto deste edital.</w:t>
      </w:r>
    </w:p>
    <w:p w:rsidR="00B449F3" w:rsidRPr="00E4497A" w:rsidRDefault="00B449F3" w:rsidP="00C20671">
      <w:pPr>
        <w:pStyle w:val="Standard"/>
        <w:suppressAutoHyphens w:val="0"/>
        <w:autoSpaceDE w:val="0"/>
        <w:jc w:val="both"/>
        <w:rPr>
          <w:rFonts w:ascii="Arial" w:hAnsi="Arial" w:cs="Arial"/>
        </w:rPr>
      </w:pPr>
    </w:p>
    <w:p w:rsidR="00B449F3" w:rsidRPr="00E4497A" w:rsidRDefault="00B449F3" w:rsidP="00B449F3">
      <w:pPr>
        <w:pStyle w:val="Default"/>
      </w:pPr>
    </w:p>
    <w:p w:rsidR="00B449F3" w:rsidRPr="00E4497A" w:rsidRDefault="00B449F3" w:rsidP="00B449F3">
      <w:pPr>
        <w:pStyle w:val="Default"/>
        <w:jc w:val="center"/>
        <w:rPr>
          <w:color w:val="auto"/>
        </w:rPr>
      </w:pPr>
      <w:r w:rsidRPr="00E4497A">
        <w:rPr>
          <w:b/>
          <w:bCs/>
          <w:color w:val="auto"/>
        </w:rPr>
        <w:t>DO PROCEDIMENTO</w:t>
      </w:r>
    </w:p>
    <w:p w:rsidR="00B449F3" w:rsidRDefault="00B449F3" w:rsidP="00B449F3">
      <w:pPr>
        <w:pStyle w:val="Default"/>
        <w:rPr>
          <w:b/>
          <w:bCs/>
          <w:color w:val="auto"/>
        </w:rPr>
      </w:pPr>
    </w:p>
    <w:p w:rsidR="00E4497A" w:rsidRPr="00E4497A" w:rsidRDefault="00E4497A" w:rsidP="00B449F3">
      <w:pPr>
        <w:pStyle w:val="Default"/>
        <w:rPr>
          <w:b/>
          <w:bCs/>
          <w:color w:val="auto"/>
        </w:rPr>
      </w:pPr>
    </w:p>
    <w:p w:rsidR="00B449F3" w:rsidRPr="00E4497A" w:rsidRDefault="00B449F3" w:rsidP="00B449F3">
      <w:pPr>
        <w:pStyle w:val="Default"/>
        <w:jc w:val="both"/>
        <w:rPr>
          <w:color w:val="auto"/>
        </w:rPr>
      </w:pPr>
      <w:r w:rsidRPr="00E4497A">
        <w:rPr>
          <w:b/>
          <w:bCs/>
          <w:color w:val="auto"/>
        </w:rPr>
        <w:t xml:space="preserve">21. </w:t>
      </w:r>
      <w:r w:rsidRPr="00E4497A">
        <w:rPr>
          <w:color w:val="auto"/>
        </w:rPr>
        <w:t>A abertura dos envelopes de "</w:t>
      </w:r>
      <w:r w:rsidRPr="00E4497A">
        <w:rPr>
          <w:b/>
          <w:bCs/>
          <w:color w:val="auto"/>
        </w:rPr>
        <w:t xml:space="preserve">DOCUMENTAÇÃO" e "PROPOSTA DE PREÇOS" </w:t>
      </w:r>
      <w:r w:rsidRPr="00E4497A">
        <w:rPr>
          <w:color w:val="auto"/>
        </w:rPr>
        <w:t>será sempre em ato público, previamente designado, do qual se lavrará ata circunstanci</w:t>
      </w:r>
      <w:r w:rsidRPr="00E4497A">
        <w:rPr>
          <w:color w:val="auto"/>
        </w:rPr>
        <w:t>a</w:t>
      </w:r>
      <w:r w:rsidRPr="00E4497A">
        <w:rPr>
          <w:color w:val="auto"/>
        </w:rPr>
        <w:t xml:space="preserve">da, que será assinada pelos representantes das firmas participantes presentes à reunião, </w:t>
      </w:r>
      <w:r w:rsidRPr="00E4497A">
        <w:rPr>
          <w:b/>
          <w:bCs/>
          <w:color w:val="auto"/>
        </w:rPr>
        <w:t>que assim o desejarem</w:t>
      </w:r>
      <w:r w:rsidRPr="00E4497A">
        <w:rPr>
          <w:color w:val="auto"/>
        </w:rPr>
        <w:t>, e pelos membros da Comissão Especial de Licitação.</w:t>
      </w:r>
    </w:p>
    <w:p w:rsidR="00B449F3" w:rsidRPr="00E4497A" w:rsidRDefault="00B449F3" w:rsidP="00B449F3">
      <w:pPr>
        <w:pStyle w:val="Default"/>
        <w:jc w:val="both"/>
        <w:rPr>
          <w:b/>
          <w:bCs/>
          <w:color w:val="auto"/>
        </w:rPr>
      </w:pPr>
    </w:p>
    <w:p w:rsidR="00B449F3" w:rsidRPr="00E4497A" w:rsidRDefault="00B449F3" w:rsidP="00B449F3">
      <w:pPr>
        <w:pStyle w:val="Default"/>
        <w:jc w:val="both"/>
        <w:rPr>
          <w:color w:val="auto"/>
        </w:rPr>
      </w:pPr>
      <w:r w:rsidRPr="00E4497A">
        <w:rPr>
          <w:b/>
          <w:bCs/>
          <w:color w:val="auto"/>
        </w:rPr>
        <w:t xml:space="preserve">22. </w:t>
      </w:r>
      <w:r w:rsidRPr="00E4497A">
        <w:rPr>
          <w:color w:val="auto"/>
        </w:rPr>
        <w:t>Todos os envelopes, documentação e propostas, serão rubricados pelos representa</w:t>
      </w:r>
      <w:r w:rsidRPr="00E4497A">
        <w:rPr>
          <w:color w:val="auto"/>
        </w:rPr>
        <w:t>n</w:t>
      </w:r>
      <w:r w:rsidRPr="00E4497A">
        <w:rPr>
          <w:color w:val="auto"/>
        </w:rPr>
        <w:t xml:space="preserve">tes das firmas participantes presentes à reunião, </w:t>
      </w:r>
      <w:r w:rsidRPr="00E4497A">
        <w:rPr>
          <w:b/>
          <w:bCs/>
          <w:color w:val="auto"/>
        </w:rPr>
        <w:t>que assim o desejarem</w:t>
      </w:r>
      <w:r w:rsidRPr="00E4497A">
        <w:rPr>
          <w:color w:val="auto"/>
        </w:rPr>
        <w:t>, e pelos me</w:t>
      </w:r>
      <w:r w:rsidRPr="00E4497A">
        <w:rPr>
          <w:color w:val="auto"/>
        </w:rPr>
        <w:t>m</w:t>
      </w:r>
      <w:r w:rsidRPr="00E4497A">
        <w:rPr>
          <w:color w:val="auto"/>
        </w:rPr>
        <w:t>bros da Comissão Especial de Licitação.</w:t>
      </w:r>
    </w:p>
    <w:p w:rsidR="00B449F3" w:rsidRPr="00E4497A" w:rsidRDefault="00B449F3" w:rsidP="00B449F3">
      <w:pPr>
        <w:pStyle w:val="Default"/>
        <w:jc w:val="both"/>
        <w:rPr>
          <w:color w:val="auto"/>
        </w:rPr>
      </w:pPr>
    </w:p>
    <w:p w:rsidR="00B449F3" w:rsidRPr="00E4497A" w:rsidRDefault="00B449F3" w:rsidP="00B449F3">
      <w:pPr>
        <w:pStyle w:val="Default"/>
        <w:jc w:val="both"/>
        <w:rPr>
          <w:color w:val="auto"/>
        </w:rPr>
      </w:pPr>
      <w:r w:rsidRPr="00E4497A">
        <w:rPr>
          <w:b/>
          <w:bCs/>
          <w:color w:val="auto"/>
        </w:rPr>
        <w:t xml:space="preserve">23. </w:t>
      </w:r>
      <w:r w:rsidRPr="00E4497A">
        <w:rPr>
          <w:color w:val="auto"/>
        </w:rPr>
        <w:t xml:space="preserve">Após a verificação da documentação e proferido o resultado da fase </w:t>
      </w:r>
      <w:proofErr w:type="spellStart"/>
      <w:r w:rsidRPr="00E4497A">
        <w:rPr>
          <w:color w:val="auto"/>
        </w:rPr>
        <w:t>habilitatória</w:t>
      </w:r>
      <w:proofErr w:type="spellEnd"/>
      <w:r w:rsidRPr="00E4497A">
        <w:rPr>
          <w:color w:val="auto"/>
        </w:rPr>
        <w:t>, h</w:t>
      </w:r>
      <w:r w:rsidRPr="00E4497A">
        <w:rPr>
          <w:color w:val="auto"/>
        </w:rPr>
        <w:t>a</w:t>
      </w:r>
      <w:r w:rsidRPr="00E4497A">
        <w:rPr>
          <w:color w:val="auto"/>
        </w:rPr>
        <w:t xml:space="preserve">vendo concordância por parte dos representantes de todas as empresas participantes quanto à desistência expressa do respectivo prazo recursal, a Comissão Permanente de Licitação poderá passar, imediatamente, na mesma reunião, à abertura dos envelopes de propostas de preços. Caso contrário, o resultado da fase </w:t>
      </w:r>
      <w:proofErr w:type="spellStart"/>
      <w:r w:rsidRPr="00E4497A">
        <w:rPr>
          <w:color w:val="auto"/>
        </w:rPr>
        <w:t>habilitatória</w:t>
      </w:r>
      <w:proofErr w:type="spellEnd"/>
      <w:r w:rsidRPr="00E4497A">
        <w:rPr>
          <w:color w:val="auto"/>
        </w:rPr>
        <w:t xml:space="preserve"> será publicado no Diário Oficial do Estado de Goiás, abrindo-se o prazo </w:t>
      </w:r>
      <w:proofErr w:type="spellStart"/>
      <w:proofErr w:type="gramStart"/>
      <w:r w:rsidRPr="00E4497A">
        <w:rPr>
          <w:color w:val="auto"/>
        </w:rPr>
        <w:t>recursal,</w:t>
      </w:r>
      <w:proofErr w:type="gramEnd"/>
      <w:r w:rsidRPr="00E4497A">
        <w:rPr>
          <w:color w:val="auto"/>
        </w:rPr>
        <w:t>nos</w:t>
      </w:r>
      <w:proofErr w:type="spellEnd"/>
      <w:r w:rsidRPr="00E4497A">
        <w:rPr>
          <w:color w:val="auto"/>
        </w:rPr>
        <w:t xml:space="preserve"> termos da Lei, sendo, </w:t>
      </w:r>
      <w:r w:rsidRPr="00E4497A">
        <w:rPr>
          <w:color w:val="auto"/>
        </w:rPr>
        <w:lastRenderedPageBreak/>
        <w:t>posteriormente, marcada a data da reunião de abertura dos envelopes contendo as pr</w:t>
      </w:r>
      <w:r w:rsidRPr="00E4497A">
        <w:rPr>
          <w:color w:val="auto"/>
        </w:rPr>
        <w:t>o</w:t>
      </w:r>
      <w:r w:rsidRPr="00E4497A">
        <w:rPr>
          <w:color w:val="auto"/>
        </w:rPr>
        <w:t>postas.</w:t>
      </w:r>
    </w:p>
    <w:p w:rsidR="00B449F3" w:rsidRPr="00E4497A" w:rsidRDefault="00B449F3" w:rsidP="00B449F3">
      <w:pPr>
        <w:pStyle w:val="Default"/>
        <w:jc w:val="both"/>
        <w:rPr>
          <w:color w:val="auto"/>
        </w:rPr>
      </w:pPr>
    </w:p>
    <w:p w:rsidR="00B449F3" w:rsidRPr="00E4497A" w:rsidRDefault="00B449F3" w:rsidP="00B449F3">
      <w:pPr>
        <w:pStyle w:val="Default"/>
        <w:jc w:val="both"/>
        <w:rPr>
          <w:color w:val="auto"/>
        </w:rPr>
      </w:pPr>
      <w:r w:rsidRPr="00E4497A">
        <w:rPr>
          <w:b/>
          <w:bCs/>
          <w:color w:val="auto"/>
        </w:rPr>
        <w:t xml:space="preserve">24. </w:t>
      </w:r>
      <w:r w:rsidRPr="00E4497A">
        <w:rPr>
          <w:color w:val="auto"/>
        </w:rPr>
        <w:t>Somente serão abertos os envelopes contendo as propostas dos licitantes habilitados.</w:t>
      </w:r>
    </w:p>
    <w:p w:rsidR="00B449F3" w:rsidRPr="00E4497A" w:rsidRDefault="00B449F3" w:rsidP="00B449F3">
      <w:pPr>
        <w:pStyle w:val="Default"/>
        <w:rPr>
          <w:b/>
          <w:bCs/>
          <w:color w:val="auto"/>
        </w:rPr>
      </w:pPr>
    </w:p>
    <w:p w:rsidR="00E4497A" w:rsidRDefault="00E4497A" w:rsidP="00B449F3">
      <w:pPr>
        <w:pStyle w:val="Default"/>
        <w:jc w:val="center"/>
        <w:rPr>
          <w:b/>
          <w:bCs/>
          <w:color w:val="auto"/>
        </w:rPr>
      </w:pPr>
    </w:p>
    <w:p w:rsidR="00B449F3" w:rsidRPr="00E4497A" w:rsidRDefault="00B449F3" w:rsidP="00B449F3">
      <w:pPr>
        <w:pStyle w:val="Default"/>
        <w:jc w:val="center"/>
        <w:rPr>
          <w:color w:val="auto"/>
        </w:rPr>
      </w:pPr>
      <w:r w:rsidRPr="00E4497A">
        <w:rPr>
          <w:b/>
          <w:bCs/>
          <w:color w:val="auto"/>
        </w:rPr>
        <w:t>DO JULGAMENTO</w:t>
      </w:r>
    </w:p>
    <w:p w:rsidR="00B449F3" w:rsidRPr="00E4497A" w:rsidRDefault="00B449F3" w:rsidP="00B449F3">
      <w:pPr>
        <w:pStyle w:val="Default"/>
        <w:rPr>
          <w:b/>
          <w:bCs/>
          <w:color w:val="auto"/>
        </w:rPr>
      </w:pPr>
    </w:p>
    <w:p w:rsidR="00B449F3" w:rsidRPr="00E4497A" w:rsidRDefault="00B449F3" w:rsidP="00B449F3">
      <w:pPr>
        <w:pStyle w:val="Default"/>
        <w:jc w:val="both"/>
        <w:rPr>
          <w:color w:val="auto"/>
        </w:rPr>
      </w:pPr>
      <w:r w:rsidRPr="00E4497A">
        <w:rPr>
          <w:b/>
          <w:bCs/>
          <w:color w:val="auto"/>
        </w:rPr>
        <w:t xml:space="preserve">25. </w:t>
      </w:r>
      <w:r w:rsidRPr="00E4497A">
        <w:rPr>
          <w:color w:val="auto"/>
        </w:rPr>
        <w:t xml:space="preserve">No julgamento das propostas, a Comissão Especial de Licitação levará em conta, no interesse do serviço público, </w:t>
      </w:r>
      <w:proofErr w:type="gramStart"/>
      <w:r w:rsidRPr="00E4497A">
        <w:rPr>
          <w:color w:val="auto"/>
        </w:rPr>
        <w:t xml:space="preserve">o </w:t>
      </w:r>
      <w:r w:rsidRPr="00E4497A">
        <w:rPr>
          <w:b/>
          <w:color w:val="auto"/>
        </w:rPr>
        <w:t>menor preço global</w:t>
      </w:r>
      <w:r w:rsidRPr="00E4497A">
        <w:rPr>
          <w:color w:val="auto"/>
        </w:rPr>
        <w:t>, atendidas</w:t>
      </w:r>
      <w:proofErr w:type="gramEnd"/>
      <w:r w:rsidRPr="00E4497A">
        <w:rPr>
          <w:color w:val="auto"/>
        </w:rPr>
        <w:t xml:space="preserve"> as especificações do edital e anexos.</w:t>
      </w:r>
    </w:p>
    <w:p w:rsidR="00B449F3" w:rsidRPr="00E4497A" w:rsidRDefault="00B449F3" w:rsidP="00B449F3">
      <w:pPr>
        <w:pStyle w:val="Default"/>
        <w:jc w:val="both"/>
        <w:rPr>
          <w:b/>
          <w:bCs/>
          <w:color w:val="auto"/>
        </w:rPr>
      </w:pPr>
    </w:p>
    <w:p w:rsidR="00B449F3" w:rsidRPr="00E4497A" w:rsidRDefault="00B449F3" w:rsidP="00B449F3">
      <w:pPr>
        <w:pStyle w:val="Default"/>
        <w:jc w:val="both"/>
        <w:rPr>
          <w:color w:val="auto"/>
        </w:rPr>
      </w:pPr>
      <w:r w:rsidRPr="00E4497A">
        <w:rPr>
          <w:b/>
          <w:bCs/>
          <w:color w:val="auto"/>
        </w:rPr>
        <w:t xml:space="preserve">26. </w:t>
      </w:r>
      <w:r w:rsidRPr="00E4497A">
        <w:rPr>
          <w:color w:val="auto"/>
        </w:rPr>
        <w:t>Havendo divergência entre os somatórios dos preços parciais e totais, decorrente de erro de cálculos no preenchimento das planilhas de orçamento, integrantes da proposta, prevalecerá o preço total ofertado para a execução da obra.</w:t>
      </w:r>
    </w:p>
    <w:p w:rsidR="00B449F3" w:rsidRPr="00E4497A" w:rsidRDefault="00B449F3" w:rsidP="00B449F3">
      <w:pPr>
        <w:pStyle w:val="Default"/>
        <w:jc w:val="both"/>
        <w:rPr>
          <w:b/>
          <w:bCs/>
          <w:color w:val="auto"/>
        </w:rPr>
      </w:pPr>
    </w:p>
    <w:p w:rsidR="00B449F3" w:rsidRPr="00E4497A" w:rsidRDefault="00B449F3" w:rsidP="00B449F3">
      <w:pPr>
        <w:pStyle w:val="Default"/>
        <w:jc w:val="both"/>
        <w:rPr>
          <w:color w:val="auto"/>
        </w:rPr>
      </w:pPr>
      <w:r w:rsidRPr="00E4497A">
        <w:rPr>
          <w:b/>
          <w:bCs/>
          <w:color w:val="auto"/>
        </w:rPr>
        <w:t xml:space="preserve">27. </w:t>
      </w:r>
      <w:r w:rsidRPr="00E4497A">
        <w:rPr>
          <w:color w:val="auto"/>
        </w:rPr>
        <w:t xml:space="preserve">Será desclassificada a proposta que apresentar preços </w:t>
      </w:r>
      <w:proofErr w:type="gramStart"/>
      <w:r w:rsidRPr="00E4497A">
        <w:rPr>
          <w:color w:val="auto"/>
        </w:rPr>
        <w:t>unitários e total superior</w:t>
      </w:r>
      <w:proofErr w:type="gramEnd"/>
      <w:r w:rsidRPr="00E4497A">
        <w:rPr>
          <w:color w:val="auto"/>
        </w:rPr>
        <w:t xml:space="preserve"> ao orçamento contido no Anexo II, ou que estiver em desacordo com as condições e espec</w:t>
      </w:r>
      <w:r w:rsidRPr="00E4497A">
        <w:rPr>
          <w:color w:val="auto"/>
        </w:rPr>
        <w:t>i</w:t>
      </w:r>
      <w:r w:rsidRPr="00E4497A">
        <w:rPr>
          <w:color w:val="auto"/>
        </w:rPr>
        <w:t>ficações deste edital e/ou da Lei 8.666/93, com suas modificações posteriores.</w:t>
      </w:r>
    </w:p>
    <w:p w:rsidR="00B449F3" w:rsidRPr="00E4497A" w:rsidRDefault="00B449F3" w:rsidP="00B449F3">
      <w:pPr>
        <w:pStyle w:val="Default"/>
        <w:jc w:val="both"/>
        <w:rPr>
          <w:b/>
          <w:bCs/>
          <w:color w:val="auto"/>
        </w:rPr>
      </w:pPr>
    </w:p>
    <w:p w:rsidR="00B449F3" w:rsidRPr="00E4497A" w:rsidRDefault="00B449F3" w:rsidP="00B449F3">
      <w:pPr>
        <w:pStyle w:val="Default"/>
        <w:jc w:val="both"/>
        <w:rPr>
          <w:color w:val="auto"/>
        </w:rPr>
      </w:pPr>
      <w:r w:rsidRPr="00E4497A">
        <w:rPr>
          <w:b/>
          <w:bCs/>
          <w:color w:val="auto"/>
        </w:rPr>
        <w:t xml:space="preserve">28. </w:t>
      </w:r>
      <w:r w:rsidRPr="00E4497A">
        <w:rPr>
          <w:color w:val="auto"/>
        </w:rPr>
        <w:t xml:space="preserve">Não serão aceitas reivindicações pleiteando adicional de preço por falta ou omissão que porventura vier a ser </w:t>
      </w:r>
      <w:proofErr w:type="gramStart"/>
      <w:r w:rsidRPr="00E4497A">
        <w:rPr>
          <w:color w:val="auto"/>
        </w:rPr>
        <w:t>verificada na proposta, ou pedido de desconsideração da me</w:t>
      </w:r>
      <w:r w:rsidRPr="00E4497A">
        <w:rPr>
          <w:color w:val="auto"/>
        </w:rPr>
        <w:t>s</w:t>
      </w:r>
      <w:r w:rsidRPr="00E4497A">
        <w:rPr>
          <w:color w:val="auto"/>
        </w:rPr>
        <w:t>ma</w:t>
      </w:r>
      <w:proofErr w:type="gramEnd"/>
      <w:r w:rsidRPr="00E4497A">
        <w:rPr>
          <w:color w:val="auto"/>
        </w:rPr>
        <w:t>, por razões semelhantes.</w:t>
      </w:r>
    </w:p>
    <w:p w:rsidR="00B449F3" w:rsidRPr="00E4497A" w:rsidRDefault="00B449F3" w:rsidP="00B449F3">
      <w:pPr>
        <w:pStyle w:val="Default"/>
        <w:jc w:val="both"/>
        <w:rPr>
          <w:b/>
          <w:bCs/>
          <w:color w:val="auto"/>
        </w:rPr>
      </w:pPr>
    </w:p>
    <w:p w:rsidR="00B449F3" w:rsidRPr="00E4497A" w:rsidRDefault="00B449F3" w:rsidP="00B449F3">
      <w:pPr>
        <w:pStyle w:val="Default"/>
        <w:jc w:val="both"/>
        <w:rPr>
          <w:color w:val="auto"/>
        </w:rPr>
      </w:pPr>
      <w:r w:rsidRPr="00E4497A">
        <w:rPr>
          <w:b/>
          <w:bCs/>
          <w:color w:val="auto"/>
        </w:rPr>
        <w:t xml:space="preserve">29. </w:t>
      </w:r>
      <w:r w:rsidRPr="00E4497A">
        <w:rPr>
          <w:color w:val="auto"/>
        </w:rPr>
        <w:t xml:space="preserve">Não se aceitará proposta que apresente quaisquer ofertas de vantagens não </w:t>
      </w:r>
      <w:proofErr w:type="gramStart"/>
      <w:r w:rsidRPr="00E4497A">
        <w:rPr>
          <w:color w:val="auto"/>
        </w:rPr>
        <w:t>previstas neste edital, ou percentual de redução</w:t>
      </w:r>
      <w:proofErr w:type="gramEnd"/>
      <w:r w:rsidRPr="00E4497A">
        <w:rPr>
          <w:color w:val="auto"/>
        </w:rPr>
        <w:t xml:space="preserve"> sobre a proposta de menor preço. </w:t>
      </w:r>
    </w:p>
    <w:p w:rsidR="00B449F3" w:rsidRPr="00E4497A" w:rsidRDefault="00B449F3" w:rsidP="00B449F3">
      <w:pPr>
        <w:pStyle w:val="Default"/>
        <w:jc w:val="both"/>
        <w:rPr>
          <w:b/>
          <w:bCs/>
          <w:color w:val="auto"/>
        </w:rPr>
      </w:pPr>
    </w:p>
    <w:p w:rsidR="00B449F3" w:rsidRPr="00E4497A" w:rsidRDefault="00B449F3" w:rsidP="00B449F3">
      <w:pPr>
        <w:pStyle w:val="Default"/>
        <w:jc w:val="both"/>
        <w:rPr>
          <w:color w:val="auto"/>
        </w:rPr>
      </w:pPr>
      <w:r w:rsidRPr="00E4497A">
        <w:rPr>
          <w:b/>
          <w:bCs/>
          <w:color w:val="auto"/>
        </w:rPr>
        <w:t xml:space="preserve">30. </w:t>
      </w:r>
      <w:r w:rsidRPr="00E4497A">
        <w:rPr>
          <w:color w:val="auto"/>
        </w:rPr>
        <w:t>Verificada a absoluta igualdade de condições entre duas ou mais propostas, a Comi</w:t>
      </w:r>
      <w:r w:rsidRPr="00E4497A">
        <w:rPr>
          <w:color w:val="auto"/>
        </w:rPr>
        <w:t>s</w:t>
      </w:r>
      <w:r w:rsidRPr="00E4497A">
        <w:rPr>
          <w:color w:val="auto"/>
        </w:rPr>
        <w:t xml:space="preserve">são Especial de Licitação </w:t>
      </w:r>
      <w:proofErr w:type="gramStart"/>
      <w:r w:rsidRPr="00E4497A">
        <w:rPr>
          <w:color w:val="auto"/>
        </w:rPr>
        <w:t>procederá o</w:t>
      </w:r>
      <w:proofErr w:type="gramEnd"/>
      <w:r w:rsidRPr="00E4497A">
        <w:rPr>
          <w:color w:val="auto"/>
        </w:rPr>
        <w:t xml:space="preserve"> sorteio entre as firmas empatadas, nos termos do § 2º, do art. 45, da Lei Federal nº 8.666/93.</w:t>
      </w:r>
    </w:p>
    <w:p w:rsidR="00B449F3" w:rsidRPr="00E4497A" w:rsidRDefault="00B449F3" w:rsidP="00B449F3">
      <w:pPr>
        <w:pStyle w:val="Default"/>
        <w:jc w:val="both"/>
        <w:rPr>
          <w:b/>
          <w:bCs/>
          <w:color w:val="auto"/>
        </w:rPr>
      </w:pPr>
    </w:p>
    <w:p w:rsidR="00E4497A" w:rsidRDefault="00E4497A" w:rsidP="00B449F3">
      <w:pPr>
        <w:pStyle w:val="Default"/>
        <w:jc w:val="center"/>
        <w:rPr>
          <w:b/>
          <w:bCs/>
          <w:color w:val="auto"/>
        </w:rPr>
      </w:pPr>
    </w:p>
    <w:p w:rsidR="00B449F3" w:rsidRPr="00E4497A" w:rsidRDefault="00B449F3" w:rsidP="00B449F3">
      <w:pPr>
        <w:pStyle w:val="Default"/>
        <w:jc w:val="center"/>
        <w:rPr>
          <w:color w:val="auto"/>
        </w:rPr>
      </w:pPr>
      <w:r w:rsidRPr="00E4497A">
        <w:rPr>
          <w:b/>
          <w:bCs/>
          <w:color w:val="auto"/>
        </w:rPr>
        <w:t>DA HOMOLOGAÇÃO</w:t>
      </w:r>
    </w:p>
    <w:p w:rsidR="00B449F3" w:rsidRPr="00E4497A" w:rsidRDefault="00B449F3" w:rsidP="00B449F3">
      <w:pPr>
        <w:pStyle w:val="Default"/>
        <w:jc w:val="both"/>
        <w:rPr>
          <w:b/>
          <w:bCs/>
          <w:color w:val="auto"/>
        </w:rPr>
      </w:pPr>
    </w:p>
    <w:p w:rsidR="00B449F3" w:rsidRPr="00E4497A" w:rsidRDefault="00B449F3" w:rsidP="00B449F3">
      <w:pPr>
        <w:pStyle w:val="Default"/>
        <w:rPr>
          <w:color w:val="auto"/>
        </w:rPr>
      </w:pPr>
      <w:r w:rsidRPr="00E4497A">
        <w:rPr>
          <w:b/>
          <w:bCs/>
          <w:color w:val="auto"/>
        </w:rPr>
        <w:t xml:space="preserve">31. </w:t>
      </w:r>
      <w:r w:rsidRPr="00E4497A">
        <w:rPr>
          <w:color w:val="auto"/>
        </w:rPr>
        <w:t>Decorrido o prazo recursal, com o parecer da Comissão Permanente de Licitação, o processo licitatório será submetido à homologação pela autoridade competente do Trib</w:t>
      </w:r>
      <w:r w:rsidRPr="00E4497A">
        <w:rPr>
          <w:color w:val="auto"/>
        </w:rPr>
        <w:t>u</w:t>
      </w:r>
      <w:r w:rsidRPr="00E4497A">
        <w:rPr>
          <w:color w:val="auto"/>
        </w:rPr>
        <w:t>nal de Contas do Estado de Goiás.</w:t>
      </w:r>
    </w:p>
    <w:p w:rsidR="00B449F3" w:rsidRPr="00E4497A" w:rsidRDefault="00B449F3" w:rsidP="00B449F3">
      <w:pPr>
        <w:pStyle w:val="Default"/>
        <w:rPr>
          <w:b/>
          <w:bCs/>
          <w:color w:val="auto"/>
        </w:rPr>
      </w:pPr>
    </w:p>
    <w:p w:rsidR="00E4497A" w:rsidRDefault="00E4497A" w:rsidP="00B449F3">
      <w:pPr>
        <w:pStyle w:val="Default"/>
        <w:jc w:val="center"/>
        <w:rPr>
          <w:b/>
          <w:bCs/>
          <w:color w:val="auto"/>
        </w:rPr>
      </w:pPr>
    </w:p>
    <w:p w:rsidR="00B449F3" w:rsidRPr="00E4497A" w:rsidRDefault="00B449F3" w:rsidP="00B449F3">
      <w:pPr>
        <w:pStyle w:val="Default"/>
        <w:jc w:val="center"/>
        <w:rPr>
          <w:color w:val="auto"/>
        </w:rPr>
      </w:pPr>
      <w:r w:rsidRPr="00E4497A">
        <w:rPr>
          <w:b/>
          <w:bCs/>
          <w:color w:val="auto"/>
        </w:rPr>
        <w:t>DA NOTA DE EMPENHO</w:t>
      </w:r>
    </w:p>
    <w:p w:rsidR="00B449F3" w:rsidRPr="00E4497A" w:rsidRDefault="00B449F3" w:rsidP="00B449F3">
      <w:pPr>
        <w:pStyle w:val="Default"/>
        <w:rPr>
          <w:b/>
          <w:bCs/>
          <w:color w:val="auto"/>
        </w:rPr>
      </w:pPr>
    </w:p>
    <w:p w:rsidR="00B449F3" w:rsidRPr="00E4497A" w:rsidRDefault="00B449F3" w:rsidP="00B449F3">
      <w:pPr>
        <w:pStyle w:val="Default"/>
        <w:jc w:val="both"/>
        <w:rPr>
          <w:color w:val="auto"/>
        </w:rPr>
      </w:pPr>
      <w:r w:rsidRPr="00E4497A">
        <w:rPr>
          <w:b/>
          <w:bCs/>
          <w:color w:val="auto"/>
        </w:rPr>
        <w:t xml:space="preserve">32. </w:t>
      </w:r>
      <w:r w:rsidRPr="00E4497A">
        <w:rPr>
          <w:color w:val="auto"/>
        </w:rPr>
        <w:t xml:space="preserve">Fica a licitante vencedora convocada a retirar a Nota de Empenho em até </w:t>
      </w:r>
      <w:proofErr w:type="gramStart"/>
      <w:r w:rsidRPr="00E4497A">
        <w:rPr>
          <w:color w:val="auto"/>
        </w:rPr>
        <w:t>3</w:t>
      </w:r>
      <w:proofErr w:type="gramEnd"/>
      <w:r w:rsidRPr="00E4497A">
        <w:rPr>
          <w:color w:val="auto"/>
        </w:rPr>
        <w:t xml:space="preserve"> (três) dias úteis a contar da notificação de sua liberação, que será comunicada, pelo Tribunal de Contas do Estado de Goiás à empresa adjudicatária.</w:t>
      </w:r>
    </w:p>
    <w:p w:rsidR="00B449F3" w:rsidRPr="00E4497A" w:rsidRDefault="00B449F3" w:rsidP="00B449F3">
      <w:pPr>
        <w:pStyle w:val="Default"/>
        <w:jc w:val="both"/>
        <w:rPr>
          <w:b/>
          <w:bCs/>
          <w:color w:val="auto"/>
        </w:rPr>
      </w:pPr>
    </w:p>
    <w:p w:rsidR="00B449F3" w:rsidRPr="00E4497A" w:rsidRDefault="00B449F3" w:rsidP="00B449F3">
      <w:pPr>
        <w:pStyle w:val="Default"/>
        <w:jc w:val="both"/>
      </w:pPr>
      <w:r w:rsidRPr="00E4497A">
        <w:rPr>
          <w:b/>
          <w:bCs/>
          <w:color w:val="auto"/>
        </w:rPr>
        <w:lastRenderedPageBreak/>
        <w:t xml:space="preserve">33. </w:t>
      </w:r>
      <w:r w:rsidRPr="00E4497A">
        <w:rPr>
          <w:color w:val="auto"/>
        </w:rPr>
        <w:t xml:space="preserve">O recebimento da nota de empenho, ainda que fora do prazo de validade da proposta, </w:t>
      </w:r>
      <w:proofErr w:type="gramStart"/>
      <w:r w:rsidRPr="00E4497A">
        <w:rPr>
          <w:color w:val="auto"/>
        </w:rPr>
        <w:t>implicará,</w:t>
      </w:r>
      <w:proofErr w:type="gramEnd"/>
      <w:r w:rsidRPr="00E4497A">
        <w:rPr>
          <w:color w:val="auto"/>
        </w:rPr>
        <w:t xml:space="preserve"> na plena ratificação de suas condições, para todos os efeitos.</w:t>
      </w:r>
    </w:p>
    <w:p w:rsidR="00B449F3" w:rsidRPr="00E4497A" w:rsidRDefault="00B449F3" w:rsidP="00B449F3">
      <w:pPr>
        <w:pStyle w:val="Standard"/>
        <w:suppressAutoHyphens w:val="0"/>
        <w:autoSpaceDE w:val="0"/>
        <w:jc w:val="both"/>
        <w:rPr>
          <w:rFonts w:ascii="Arial" w:hAnsi="Arial" w:cs="Arial"/>
        </w:rPr>
      </w:pPr>
    </w:p>
    <w:p w:rsidR="00B449F3" w:rsidRPr="00E4497A" w:rsidRDefault="00B449F3" w:rsidP="00B51A96">
      <w:pPr>
        <w:pStyle w:val="Default"/>
        <w:jc w:val="both"/>
        <w:rPr>
          <w:color w:val="auto"/>
        </w:rPr>
      </w:pPr>
      <w:r w:rsidRPr="00E4497A">
        <w:rPr>
          <w:b/>
          <w:bCs/>
          <w:color w:val="auto"/>
        </w:rPr>
        <w:t xml:space="preserve">34. </w:t>
      </w:r>
      <w:r w:rsidRPr="00E4497A">
        <w:rPr>
          <w:color w:val="auto"/>
        </w:rPr>
        <w:t>No caso da não retirada da nota de empenho ou assinatura do contrato no prazo e</w:t>
      </w:r>
      <w:r w:rsidRPr="00E4497A">
        <w:rPr>
          <w:color w:val="auto"/>
        </w:rPr>
        <w:t>s</w:t>
      </w:r>
      <w:r w:rsidRPr="00E4497A">
        <w:rPr>
          <w:color w:val="auto"/>
        </w:rPr>
        <w:t>tabelecido, sem justa causa, o Tribunal de Contas do Estado de Goiás convocará os lic</w:t>
      </w:r>
      <w:r w:rsidRPr="00E4497A">
        <w:rPr>
          <w:color w:val="auto"/>
        </w:rPr>
        <w:t>i</w:t>
      </w:r>
      <w:r w:rsidRPr="00E4497A">
        <w:rPr>
          <w:color w:val="auto"/>
        </w:rPr>
        <w:t>tantes remanescentes, observada a ordem de classificação, para fazê-lo em igual prazo e nas mesmas condições propostas pelo primeiro classificado, estando o adjudicatário s</w:t>
      </w:r>
      <w:r w:rsidRPr="00E4497A">
        <w:rPr>
          <w:color w:val="auto"/>
        </w:rPr>
        <w:t>u</w:t>
      </w:r>
      <w:r w:rsidRPr="00E4497A">
        <w:rPr>
          <w:color w:val="auto"/>
        </w:rPr>
        <w:t xml:space="preserve">jeito à multa de </w:t>
      </w:r>
      <w:r w:rsidRPr="00E4497A">
        <w:rPr>
          <w:b/>
          <w:bCs/>
          <w:color w:val="auto"/>
        </w:rPr>
        <w:t>10%</w:t>
      </w:r>
      <w:proofErr w:type="gramStart"/>
      <w:r w:rsidRPr="00E4497A">
        <w:rPr>
          <w:color w:val="auto"/>
        </w:rPr>
        <w:t>(</w:t>
      </w:r>
      <w:proofErr w:type="gramEnd"/>
      <w:r w:rsidRPr="00E4497A">
        <w:rPr>
          <w:color w:val="auto"/>
        </w:rPr>
        <w:t>dez por cento) do valor adjudicado e suspensão pelo prazo de 2 (dois) anos de contratar com o Tribunal de Contas de Goiás.</w:t>
      </w:r>
    </w:p>
    <w:p w:rsidR="00B449F3" w:rsidRPr="00E4497A" w:rsidRDefault="00B449F3" w:rsidP="00B449F3">
      <w:pPr>
        <w:pStyle w:val="Default"/>
        <w:rPr>
          <w:b/>
          <w:bCs/>
          <w:color w:val="auto"/>
        </w:rPr>
      </w:pPr>
    </w:p>
    <w:p w:rsidR="00B449F3" w:rsidRPr="00E4497A" w:rsidRDefault="00B449F3" w:rsidP="00B51A96">
      <w:pPr>
        <w:pStyle w:val="Default"/>
        <w:jc w:val="both"/>
      </w:pPr>
      <w:r w:rsidRPr="00E4497A">
        <w:rPr>
          <w:b/>
          <w:bCs/>
          <w:color w:val="auto"/>
        </w:rPr>
        <w:t xml:space="preserve">35. </w:t>
      </w:r>
      <w:r w:rsidRPr="00E4497A">
        <w:rPr>
          <w:color w:val="auto"/>
        </w:rPr>
        <w:t>Se quando da emissão da nota de empenho, os documentos comprobatórios de situ</w:t>
      </w:r>
      <w:r w:rsidRPr="00E4497A">
        <w:rPr>
          <w:color w:val="auto"/>
        </w:rPr>
        <w:t>a</w:t>
      </w:r>
      <w:r w:rsidRPr="00E4497A">
        <w:rPr>
          <w:color w:val="auto"/>
        </w:rPr>
        <w:t>ção regular junto ao INSS e FGTS, apresentados em atendimento às exigências de habil</w:t>
      </w:r>
      <w:r w:rsidRPr="00E4497A">
        <w:rPr>
          <w:color w:val="auto"/>
        </w:rPr>
        <w:t>i</w:t>
      </w:r>
      <w:r w:rsidRPr="00E4497A">
        <w:rPr>
          <w:color w:val="auto"/>
        </w:rPr>
        <w:t xml:space="preserve">tação, estiverem com validade expirada, </w:t>
      </w:r>
      <w:proofErr w:type="gramStart"/>
      <w:r w:rsidRPr="00E4497A">
        <w:rPr>
          <w:color w:val="auto"/>
        </w:rPr>
        <w:t>a</w:t>
      </w:r>
      <w:proofErr w:type="gramEnd"/>
      <w:r w:rsidRPr="00E4497A">
        <w:rPr>
          <w:color w:val="auto"/>
        </w:rPr>
        <w:t xml:space="preserve"> empresa deverá providenciar a apresentação de novos documentos dentro do prazo de validade.</w:t>
      </w:r>
    </w:p>
    <w:p w:rsidR="00B449F3" w:rsidRPr="00E4497A" w:rsidRDefault="00B449F3" w:rsidP="00B449F3">
      <w:pPr>
        <w:pStyle w:val="Standard"/>
        <w:suppressAutoHyphens w:val="0"/>
        <w:autoSpaceDE w:val="0"/>
        <w:jc w:val="both"/>
        <w:rPr>
          <w:rFonts w:ascii="Arial" w:hAnsi="Arial" w:cs="Arial"/>
        </w:rPr>
      </w:pPr>
    </w:p>
    <w:p w:rsidR="00E4497A" w:rsidRDefault="00E4497A" w:rsidP="00B449F3">
      <w:pPr>
        <w:pStyle w:val="Default"/>
        <w:jc w:val="center"/>
        <w:rPr>
          <w:b/>
          <w:bCs/>
          <w:color w:val="auto"/>
        </w:rPr>
      </w:pPr>
    </w:p>
    <w:p w:rsidR="00B449F3" w:rsidRPr="00E4497A" w:rsidRDefault="00B449F3" w:rsidP="00B449F3">
      <w:pPr>
        <w:pStyle w:val="Default"/>
        <w:jc w:val="center"/>
        <w:rPr>
          <w:color w:val="auto"/>
        </w:rPr>
      </w:pPr>
      <w:r w:rsidRPr="00E4497A">
        <w:rPr>
          <w:b/>
          <w:bCs/>
          <w:color w:val="auto"/>
        </w:rPr>
        <w:t>DO CONTRATO</w:t>
      </w:r>
    </w:p>
    <w:p w:rsidR="00B449F3" w:rsidRPr="00E4497A" w:rsidRDefault="00B449F3" w:rsidP="00B449F3">
      <w:pPr>
        <w:pStyle w:val="Default"/>
        <w:rPr>
          <w:b/>
          <w:bCs/>
          <w:color w:val="auto"/>
        </w:rPr>
      </w:pPr>
    </w:p>
    <w:p w:rsidR="00B449F3" w:rsidRPr="00E4497A" w:rsidRDefault="00B449F3" w:rsidP="00B51A96">
      <w:pPr>
        <w:pStyle w:val="Default"/>
        <w:jc w:val="both"/>
        <w:rPr>
          <w:color w:val="auto"/>
        </w:rPr>
      </w:pPr>
      <w:r w:rsidRPr="00E4497A">
        <w:rPr>
          <w:b/>
          <w:bCs/>
          <w:color w:val="auto"/>
        </w:rPr>
        <w:t xml:space="preserve">36. </w:t>
      </w:r>
      <w:r w:rsidRPr="00E4497A">
        <w:rPr>
          <w:color w:val="auto"/>
        </w:rPr>
        <w:t>Constitui parte integrante deste edital a minuta contratual (anexo IV), que poderá ser alterada quando da assinatura do contrato, acrescentando ou suprimindo cláusulas e/ou parágrafos, para sua adequação.</w:t>
      </w:r>
    </w:p>
    <w:p w:rsidR="00B449F3" w:rsidRPr="00E4497A" w:rsidRDefault="00B449F3" w:rsidP="00B449F3">
      <w:pPr>
        <w:pStyle w:val="Default"/>
        <w:rPr>
          <w:color w:val="auto"/>
        </w:rPr>
      </w:pPr>
      <w:r w:rsidRPr="00E4497A">
        <w:rPr>
          <w:color w:val="auto"/>
        </w:rPr>
        <w:t xml:space="preserve"> </w:t>
      </w:r>
    </w:p>
    <w:p w:rsidR="00B449F3" w:rsidRPr="00E4497A" w:rsidRDefault="00B449F3" w:rsidP="00B51A96">
      <w:pPr>
        <w:pStyle w:val="Default"/>
        <w:jc w:val="both"/>
        <w:rPr>
          <w:color w:val="auto"/>
        </w:rPr>
      </w:pPr>
      <w:r w:rsidRPr="00E4497A">
        <w:rPr>
          <w:b/>
          <w:bCs/>
          <w:color w:val="auto"/>
        </w:rPr>
        <w:t xml:space="preserve">37. </w:t>
      </w:r>
      <w:r w:rsidRPr="00E4497A">
        <w:rPr>
          <w:color w:val="auto"/>
        </w:rPr>
        <w:t xml:space="preserve">Fica a licitante vencedora convocada a assinar o termo contratual, no prazo de </w:t>
      </w:r>
      <w:proofErr w:type="gramStart"/>
      <w:r w:rsidRPr="00E4497A">
        <w:rPr>
          <w:color w:val="auto"/>
        </w:rPr>
        <w:t>3</w:t>
      </w:r>
      <w:proofErr w:type="gramEnd"/>
      <w:r w:rsidRPr="00E4497A">
        <w:rPr>
          <w:color w:val="auto"/>
        </w:rPr>
        <w:t xml:space="preserve"> (três) dias úteis, em conformidade com o disposto no art. 64 da Lei 8.666/93.</w:t>
      </w:r>
    </w:p>
    <w:p w:rsidR="00B51A96" w:rsidRPr="00E4497A" w:rsidRDefault="00B51A96" w:rsidP="00B449F3">
      <w:pPr>
        <w:pStyle w:val="Default"/>
        <w:rPr>
          <w:b/>
          <w:bCs/>
          <w:color w:val="auto"/>
        </w:rPr>
      </w:pPr>
    </w:p>
    <w:p w:rsidR="00E4497A" w:rsidRDefault="00E4497A" w:rsidP="00B51A96">
      <w:pPr>
        <w:pStyle w:val="Default"/>
        <w:jc w:val="center"/>
        <w:rPr>
          <w:b/>
          <w:bCs/>
          <w:color w:val="auto"/>
        </w:rPr>
      </w:pPr>
    </w:p>
    <w:p w:rsidR="00B51A96" w:rsidRPr="00E4497A" w:rsidRDefault="00B449F3" w:rsidP="00B51A96">
      <w:pPr>
        <w:pStyle w:val="Default"/>
        <w:jc w:val="center"/>
        <w:rPr>
          <w:b/>
          <w:bCs/>
          <w:color w:val="auto"/>
        </w:rPr>
      </w:pPr>
      <w:proofErr w:type="gramStart"/>
      <w:r w:rsidRPr="00E4497A">
        <w:rPr>
          <w:b/>
          <w:bCs/>
          <w:color w:val="auto"/>
        </w:rPr>
        <w:t>MULTA –NÃO</w:t>
      </w:r>
      <w:proofErr w:type="gramEnd"/>
      <w:r w:rsidRPr="00E4497A">
        <w:rPr>
          <w:b/>
          <w:bCs/>
          <w:color w:val="auto"/>
        </w:rPr>
        <w:t xml:space="preserve"> CUMPRIMENTO</w:t>
      </w:r>
    </w:p>
    <w:p w:rsidR="00B51A96" w:rsidRPr="00E4497A" w:rsidRDefault="00B51A96" w:rsidP="00B51A96">
      <w:pPr>
        <w:pStyle w:val="Default"/>
        <w:rPr>
          <w:b/>
          <w:bCs/>
          <w:color w:val="auto"/>
        </w:rPr>
      </w:pPr>
    </w:p>
    <w:p w:rsidR="00B449F3" w:rsidRPr="00E4497A" w:rsidRDefault="00B449F3" w:rsidP="00B51A96">
      <w:pPr>
        <w:pStyle w:val="Default"/>
        <w:jc w:val="both"/>
      </w:pPr>
      <w:r w:rsidRPr="00E4497A">
        <w:rPr>
          <w:b/>
          <w:bCs/>
        </w:rPr>
        <w:t xml:space="preserve">38. </w:t>
      </w:r>
      <w:r w:rsidRPr="00E4497A">
        <w:t xml:space="preserve">O não cumprimento dos prazos das obrigações contratuais implicará em multa de </w:t>
      </w:r>
      <w:r w:rsidRPr="00E4497A">
        <w:rPr>
          <w:b/>
          <w:bCs/>
        </w:rPr>
        <w:t>0,1%</w:t>
      </w:r>
      <w:proofErr w:type="gramStart"/>
      <w:r w:rsidRPr="00E4497A">
        <w:t>(</w:t>
      </w:r>
      <w:proofErr w:type="gramEnd"/>
      <w:r w:rsidRPr="00E4497A">
        <w:t>zero vírgula um por cento) do valor do Contrato, por dia de atraso no cumprimento de suas obrigações.</w:t>
      </w:r>
    </w:p>
    <w:p w:rsidR="00B449F3" w:rsidRPr="00E4497A" w:rsidRDefault="00B449F3" w:rsidP="00B449F3">
      <w:pPr>
        <w:pStyle w:val="Standard"/>
        <w:suppressAutoHyphens w:val="0"/>
        <w:autoSpaceDE w:val="0"/>
        <w:jc w:val="both"/>
        <w:rPr>
          <w:rFonts w:ascii="Arial" w:hAnsi="Arial" w:cs="Arial"/>
        </w:rPr>
      </w:pPr>
    </w:p>
    <w:p w:rsidR="00B51A96" w:rsidRPr="00E4497A" w:rsidRDefault="00B51A96" w:rsidP="00B51A96">
      <w:pPr>
        <w:pStyle w:val="Default"/>
      </w:pPr>
    </w:p>
    <w:p w:rsidR="00B51A96" w:rsidRPr="00E4497A" w:rsidRDefault="00B51A96" w:rsidP="00B51A96">
      <w:pPr>
        <w:pStyle w:val="Default"/>
        <w:jc w:val="center"/>
        <w:rPr>
          <w:b/>
          <w:bCs/>
          <w:color w:val="auto"/>
        </w:rPr>
      </w:pPr>
      <w:r w:rsidRPr="00E4497A">
        <w:rPr>
          <w:b/>
          <w:bCs/>
          <w:color w:val="auto"/>
        </w:rPr>
        <w:t>DO PAGAMENTO</w:t>
      </w:r>
    </w:p>
    <w:p w:rsidR="00B51A96" w:rsidRPr="00E4497A" w:rsidRDefault="00B51A96" w:rsidP="00B51A96">
      <w:pPr>
        <w:pStyle w:val="Default"/>
        <w:jc w:val="center"/>
        <w:rPr>
          <w:color w:val="auto"/>
        </w:rPr>
      </w:pPr>
    </w:p>
    <w:p w:rsidR="00B51A96" w:rsidRPr="00E4497A" w:rsidRDefault="00B51A96" w:rsidP="00B51A96">
      <w:pPr>
        <w:pStyle w:val="Default"/>
        <w:jc w:val="both"/>
        <w:rPr>
          <w:color w:val="auto"/>
        </w:rPr>
      </w:pPr>
      <w:r w:rsidRPr="00E4497A">
        <w:rPr>
          <w:b/>
          <w:bCs/>
          <w:color w:val="auto"/>
        </w:rPr>
        <w:t xml:space="preserve">39. </w:t>
      </w:r>
      <w:r w:rsidRPr="00E4497A">
        <w:rPr>
          <w:color w:val="auto"/>
        </w:rPr>
        <w:t xml:space="preserve">O Tribunal de Contas Estado de Goiás efetuará os pagamentos em até 30 (trinta) dias corridos após apresentação da nota fiscal, devidamente atestada pela Segunda Divisão de Fiscalização de Engenharia do Tribunal de Contas, conforme cronograma. </w:t>
      </w:r>
    </w:p>
    <w:p w:rsidR="00B51A96" w:rsidRPr="00E4497A" w:rsidRDefault="00B51A96" w:rsidP="00B51A96">
      <w:pPr>
        <w:pStyle w:val="Default"/>
        <w:jc w:val="both"/>
        <w:rPr>
          <w:color w:val="auto"/>
        </w:rPr>
      </w:pPr>
    </w:p>
    <w:p w:rsidR="00B449F3" w:rsidRPr="00E4497A" w:rsidRDefault="00B51A96" w:rsidP="00B51A96">
      <w:pPr>
        <w:pStyle w:val="Default"/>
        <w:jc w:val="both"/>
        <w:rPr>
          <w:color w:val="auto"/>
        </w:rPr>
      </w:pPr>
      <w:r w:rsidRPr="00E4497A">
        <w:rPr>
          <w:b/>
          <w:bCs/>
          <w:color w:val="auto"/>
        </w:rPr>
        <w:t xml:space="preserve">40. </w:t>
      </w:r>
      <w:r w:rsidRPr="00E4497A">
        <w:rPr>
          <w:color w:val="auto"/>
        </w:rPr>
        <w:t xml:space="preserve">Caso o pagamento ocorra após o prazo estabelecido no item anterior, por motivos imputados ao contratante, ao mesmo incidirá multa moratória pela TR, </w:t>
      </w:r>
      <w:proofErr w:type="gramStart"/>
      <w:r w:rsidRPr="00E4497A">
        <w:rPr>
          <w:i/>
          <w:iCs/>
          <w:color w:val="auto"/>
        </w:rPr>
        <w:t>pro rata</w:t>
      </w:r>
      <w:proofErr w:type="gramEnd"/>
      <w:r w:rsidRPr="00E4497A">
        <w:rPr>
          <w:i/>
          <w:iCs/>
          <w:color w:val="auto"/>
        </w:rPr>
        <w:t xml:space="preserve"> </w:t>
      </w:r>
      <w:proofErr w:type="spellStart"/>
      <w:r w:rsidRPr="00E4497A">
        <w:rPr>
          <w:i/>
          <w:iCs/>
          <w:color w:val="auto"/>
        </w:rPr>
        <w:t>temporis</w:t>
      </w:r>
      <w:proofErr w:type="spellEnd"/>
      <w:r w:rsidRPr="00E4497A">
        <w:rPr>
          <w:color w:val="auto"/>
        </w:rPr>
        <w:t>, ou por outro índice oficial substitutivo.</w:t>
      </w:r>
    </w:p>
    <w:p w:rsidR="00B51A96" w:rsidRPr="00E4497A" w:rsidRDefault="00B51A96" w:rsidP="00B51A96">
      <w:pPr>
        <w:pStyle w:val="Default"/>
        <w:jc w:val="both"/>
      </w:pPr>
    </w:p>
    <w:p w:rsidR="00B51A96" w:rsidRPr="00E4497A" w:rsidRDefault="00B51A96" w:rsidP="00B51A96">
      <w:pPr>
        <w:pStyle w:val="Default"/>
        <w:jc w:val="both"/>
        <w:rPr>
          <w:color w:val="auto"/>
        </w:rPr>
      </w:pPr>
      <w:proofErr w:type="gramStart"/>
      <w:r w:rsidRPr="00E4497A">
        <w:rPr>
          <w:b/>
          <w:bCs/>
          <w:color w:val="auto"/>
        </w:rPr>
        <w:t>41.</w:t>
      </w:r>
      <w:proofErr w:type="gramEnd"/>
      <w:r w:rsidRPr="00E4497A">
        <w:rPr>
          <w:color w:val="auto"/>
        </w:rPr>
        <w:t>Os preços unitários da planilha orçamentária deste edital gerarão pagamentos em m</w:t>
      </w:r>
      <w:r w:rsidRPr="00E4497A">
        <w:rPr>
          <w:color w:val="auto"/>
        </w:rPr>
        <w:t>o</w:t>
      </w:r>
      <w:r w:rsidRPr="00E4497A">
        <w:rPr>
          <w:color w:val="auto"/>
        </w:rPr>
        <w:t xml:space="preserve">eda nacional, serão reajustados anualmente segundo o INCC –M –Índice Nacional de </w:t>
      </w:r>
      <w:r w:rsidRPr="00E4497A">
        <w:rPr>
          <w:color w:val="auto"/>
        </w:rPr>
        <w:lastRenderedPageBreak/>
        <w:t>Custo da Construção relativo a mão de obra fornecido pela Fundação Getúlio Vargas –FGV. A data base para os índices será a data de abertura das propostas.</w:t>
      </w:r>
    </w:p>
    <w:p w:rsidR="00B51A96" w:rsidRPr="00E4497A" w:rsidRDefault="00B51A96" w:rsidP="00B51A96">
      <w:pPr>
        <w:pStyle w:val="Default"/>
        <w:jc w:val="both"/>
        <w:rPr>
          <w:b/>
          <w:bCs/>
          <w:color w:val="auto"/>
        </w:rPr>
      </w:pPr>
    </w:p>
    <w:p w:rsidR="00E4497A" w:rsidRDefault="00E4497A" w:rsidP="00B51A96">
      <w:pPr>
        <w:pStyle w:val="Default"/>
        <w:jc w:val="center"/>
        <w:rPr>
          <w:b/>
          <w:bCs/>
          <w:color w:val="auto"/>
        </w:rPr>
      </w:pPr>
    </w:p>
    <w:p w:rsidR="00B51A96" w:rsidRPr="00E4497A" w:rsidRDefault="00B51A96" w:rsidP="00B51A96">
      <w:pPr>
        <w:pStyle w:val="Default"/>
        <w:jc w:val="center"/>
        <w:rPr>
          <w:color w:val="auto"/>
        </w:rPr>
      </w:pPr>
      <w:r w:rsidRPr="00E4497A">
        <w:rPr>
          <w:b/>
          <w:bCs/>
          <w:color w:val="auto"/>
        </w:rPr>
        <w:t>DOS RECURSOS</w:t>
      </w:r>
    </w:p>
    <w:p w:rsidR="00B51A96" w:rsidRDefault="00B51A96" w:rsidP="00B51A96">
      <w:pPr>
        <w:pStyle w:val="Default"/>
        <w:jc w:val="both"/>
        <w:rPr>
          <w:b/>
          <w:bCs/>
          <w:color w:val="auto"/>
        </w:rPr>
      </w:pPr>
    </w:p>
    <w:p w:rsidR="00B51A96" w:rsidRPr="00E4497A" w:rsidRDefault="00B51A96" w:rsidP="00B51A96">
      <w:pPr>
        <w:pStyle w:val="Default"/>
        <w:jc w:val="both"/>
        <w:rPr>
          <w:color w:val="auto"/>
        </w:rPr>
      </w:pPr>
      <w:r w:rsidRPr="00E4497A">
        <w:rPr>
          <w:b/>
          <w:bCs/>
          <w:color w:val="auto"/>
        </w:rPr>
        <w:t xml:space="preserve">42. </w:t>
      </w:r>
      <w:r w:rsidRPr="00E4497A">
        <w:rPr>
          <w:color w:val="auto"/>
        </w:rPr>
        <w:t>Os recursos, cabíveis nos termos do inciso I, do art. 109, da Lei 8.666/93, poderão ser interpostos, por escrito, dirigidos à autoridade superior do Tribunal de Contas do Estado de Goiás e encaminhados à Comissão Especial de Licitação, via Protocolo Administrativo.</w:t>
      </w:r>
    </w:p>
    <w:p w:rsidR="00B51A96" w:rsidRPr="00E4497A" w:rsidRDefault="00B51A96" w:rsidP="00B51A96">
      <w:pPr>
        <w:pStyle w:val="Default"/>
        <w:jc w:val="both"/>
        <w:rPr>
          <w:b/>
          <w:bCs/>
          <w:color w:val="auto"/>
        </w:rPr>
      </w:pPr>
    </w:p>
    <w:p w:rsidR="00B51A96" w:rsidRPr="00E4497A" w:rsidRDefault="00B51A96" w:rsidP="00B51A96">
      <w:pPr>
        <w:pStyle w:val="Default"/>
        <w:jc w:val="both"/>
      </w:pPr>
      <w:r w:rsidRPr="00E4497A">
        <w:rPr>
          <w:b/>
          <w:bCs/>
          <w:color w:val="auto"/>
        </w:rPr>
        <w:t xml:space="preserve">43. </w:t>
      </w:r>
      <w:r w:rsidRPr="00E4497A">
        <w:rPr>
          <w:color w:val="auto"/>
        </w:rPr>
        <w:t>Os recursos interpostos fora do prazo legal não serão conhecidos. Somente serão conhecidos os recursos via fax se forem transmitidos, acompanhados da respectiva guia de remessa postal, no prazo legalmente estabelecido para sua interposição.</w:t>
      </w:r>
    </w:p>
    <w:p w:rsidR="00B449F3" w:rsidRPr="00E4497A" w:rsidRDefault="00B449F3" w:rsidP="00B449F3">
      <w:pPr>
        <w:pStyle w:val="Standard"/>
        <w:suppressAutoHyphens w:val="0"/>
        <w:autoSpaceDE w:val="0"/>
        <w:jc w:val="both"/>
        <w:rPr>
          <w:rFonts w:ascii="Arial" w:hAnsi="Arial" w:cs="Arial"/>
        </w:rPr>
      </w:pPr>
    </w:p>
    <w:p w:rsidR="00B51A96" w:rsidRPr="00E4497A" w:rsidRDefault="00B51A96" w:rsidP="00B51A96">
      <w:pPr>
        <w:pStyle w:val="Default"/>
      </w:pPr>
    </w:p>
    <w:p w:rsidR="00B51A96" w:rsidRPr="00E4497A" w:rsidRDefault="00B51A96" w:rsidP="00B51A96">
      <w:pPr>
        <w:pStyle w:val="Default"/>
        <w:jc w:val="center"/>
        <w:rPr>
          <w:color w:val="auto"/>
        </w:rPr>
      </w:pPr>
      <w:r w:rsidRPr="00E4497A">
        <w:rPr>
          <w:b/>
          <w:bCs/>
          <w:color w:val="auto"/>
        </w:rPr>
        <w:t>DA REVOGAÇÃO E ANULAÇÃO</w:t>
      </w:r>
    </w:p>
    <w:p w:rsidR="00B51A96" w:rsidRDefault="00B51A96" w:rsidP="00B51A96">
      <w:pPr>
        <w:pStyle w:val="Default"/>
        <w:rPr>
          <w:b/>
          <w:bCs/>
          <w:color w:val="auto"/>
        </w:rPr>
      </w:pPr>
    </w:p>
    <w:p w:rsidR="00E4497A" w:rsidRPr="00E4497A" w:rsidRDefault="00E4497A" w:rsidP="00B51A96">
      <w:pPr>
        <w:pStyle w:val="Default"/>
        <w:rPr>
          <w:b/>
          <w:bCs/>
          <w:color w:val="auto"/>
        </w:rPr>
      </w:pPr>
    </w:p>
    <w:p w:rsidR="00B51A96" w:rsidRPr="00E4497A" w:rsidRDefault="00B51A96" w:rsidP="00B51A96">
      <w:pPr>
        <w:pStyle w:val="Default"/>
        <w:jc w:val="both"/>
        <w:rPr>
          <w:color w:val="auto"/>
        </w:rPr>
      </w:pPr>
      <w:r w:rsidRPr="00E4497A">
        <w:rPr>
          <w:b/>
          <w:bCs/>
          <w:color w:val="auto"/>
        </w:rPr>
        <w:t xml:space="preserve">44. </w:t>
      </w:r>
      <w:r w:rsidRPr="00E4497A">
        <w:rPr>
          <w:color w:val="auto"/>
        </w:rPr>
        <w:t>A licitação de que trata o presente edital, poderá ser revogada ou anulada pela autor</w:t>
      </w:r>
      <w:r w:rsidRPr="00E4497A">
        <w:rPr>
          <w:color w:val="auto"/>
        </w:rPr>
        <w:t>i</w:t>
      </w:r>
      <w:r w:rsidRPr="00E4497A">
        <w:rPr>
          <w:color w:val="auto"/>
        </w:rPr>
        <w:t>dade competente do Tribunal de Contas do Estado de Goiás, nos termos do art. 49, da Lei 8.666/93, sem que, em decorrência de qualquer dessas medidas, tenham os partic</w:t>
      </w:r>
      <w:r w:rsidRPr="00E4497A">
        <w:rPr>
          <w:color w:val="auto"/>
        </w:rPr>
        <w:t>i</w:t>
      </w:r>
      <w:r w:rsidRPr="00E4497A">
        <w:rPr>
          <w:color w:val="auto"/>
        </w:rPr>
        <w:t>pantes direito à indenização, compensação ou reclamação de qualquer natureza.</w:t>
      </w:r>
    </w:p>
    <w:p w:rsidR="00B51A96" w:rsidRPr="00E4497A" w:rsidRDefault="00B51A96" w:rsidP="00B51A96">
      <w:pPr>
        <w:pStyle w:val="Default"/>
        <w:rPr>
          <w:b/>
          <w:bCs/>
          <w:color w:val="auto"/>
        </w:rPr>
      </w:pPr>
    </w:p>
    <w:p w:rsidR="00E4497A" w:rsidRDefault="00E4497A" w:rsidP="00B51A96">
      <w:pPr>
        <w:pStyle w:val="Default"/>
        <w:jc w:val="center"/>
        <w:rPr>
          <w:b/>
          <w:bCs/>
          <w:color w:val="auto"/>
        </w:rPr>
      </w:pPr>
    </w:p>
    <w:p w:rsidR="00B51A96" w:rsidRPr="00E4497A" w:rsidRDefault="00B51A96" w:rsidP="00B51A96">
      <w:pPr>
        <w:pStyle w:val="Default"/>
        <w:jc w:val="center"/>
        <w:rPr>
          <w:color w:val="auto"/>
        </w:rPr>
      </w:pPr>
      <w:r w:rsidRPr="00E4497A">
        <w:rPr>
          <w:b/>
          <w:bCs/>
          <w:color w:val="auto"/>
        </w:rPr>
        <w:t>DO INADIMPLEMENTO</w:t>
      </w:r>
    </w:p>
    <w:p w:rsidR="00B51A96" w:rsidRPr="00E4497A" w:rsidRDefault="00B51A96" w:rsidP="00B51A96">
      <w:pPr>
        <w:pStyle w:val="Default"/>
        <w:rPr>
          <w:b/>
          <w:bCs/>
          <w:color w:val="auto"/>
        </w:rPr>
      </w:pPr>
    </w:p>
    <w:p w:rsidR="00B51A96" w:rsidRPr="00E4497A" w:rsidRDefault="00B51A96" w:rsidP="00B51A96">
      <w:pPr>
        <w:pStyle w:val="Default"/>
        <w:jc w:val="both"/>
        <w:rPr>
          <w:color w:val="auto"/>
        </w:rPr>
      </w:pPr>
      <w:r w:rsidRPr="00E4497A">
        <w:rPr>
          <w:b/>
          <w:bCs/>
          <w:color w:val="auto"/>
        </w:rPr>
        <w:t xml:space="preserve">45. </w:t>
      </w:r>
      <w:r w:rsidRPr="00E4497A">
        <w:rPr>
          <w:color w:val="auto"/>
        </w:rPr>
        <w:t xml:space="preserve">Pela inexecução total ou parcial do contrato, à administração </w:t>
      </w:r>
      <w:proofErr w:type="gramStart"/>
      <w:r w:rsidRPr="00E4497A">
        <w:rPr>
          <w:color w:val="auto"/>
        </w:rPr>
        <w:t>poderá,</w:t>
      </w:r>
      <w:proofErr w:type="gramEnd"/>
      <w:r w:rsidRPr="00E4497A">
        <w:rPr>
          <w:color w:val="auto"/>
        </w:rPr>
        <w:t xml:space="preserve"> garantida a d</w:t>
      </w:r>
      <w:r w:rsidRPr="00E4497A">
        <w:rPr>
          <w:color w:val="auto"/>
        </w:rPr>
        <w:t>e</w:t>
      </w:r>
      <w:r w:rsidRPr="00E4497A">
        <w:rPr>
          <w:color w:val="auto"/>
        </w:rPr>
        <w:t>fesa prévia, aplicar ao contratado, segundo a extensão da falta cometida as seguintes penalidades previstas no artigo 87 e 88 da Lei 8.666/93:</w:t>
      </w:r>
    </w:p>
    <w:p w:rsidR="00B51A96" w:rsidRPr="00E4497A" w:rsidRDefault="00B51A96" w:rsidP="00B51A96">
      <w:pPr>
        <w:pStyle w:val="Default"/>
        <w:jc w:val="both"/>
        <w:rPr>
          <w:color w:val="auto"/>
        </w:rPr>
      </w:pPr>
      <w:r w:rsidRPr="00E4497A">
        <w:rPr>
          <w:b/>
          <w:bCs/>
          <w:color w:val="auto"/>
        </w:rPr>
        <w:t>I -</w:t>
      </w:r>
      <w:r w:rsidR="00BB70BB" w:rsidRPr="00E4497A">
        <w:rPr>
          <w:b/>
          <w:bCs/>
          <w:color w:val="auto"/>
        </w:rPr>
        <w:t xml:space="preserve"> </w:t>
      </w:r>
      <w:r w:rsidRPr="00E4497A">
        <w:rPr>
          <w:color w:val="auto"/>
        </w:rPr>
        <w:t>advertência;</w:t>
      </w:r>
    </w:p>
    <w:p w:rsidR="00B51A96" w:rsidRPr="00E4497A" w:rsidRDefault="00B51A96" w:rsidP="00B51A96">
      <w:pPr>
        <w:pStyle w:val="Default"/>
        <w:jc w:val="both"/>
        <w:rPr>
          <w:color w:val="auto"/>
        </w:rPr>
      </w:pPr>
      <w:r w:rsidRPr="00E4497A">
        <w:rPr>
          <w:b/>
          <w:bCs/>
          <w:color w:val="auto"/>
        </w:rPr>
        <w:t>II -</w:t>
      </w:r>
      <w:r w:rsidR="00BB70BB" w:rsidRPr="00E4497A">
        <w:rPr>
          <w:b/>
          <w:bCs/>
          <w:color w:val="auto"/>
        </w:rPr>
        <w:t xml:space="preserve"> </w:t>
      </w:r>
      <w:r w:rsidRPr="00E4497A">
        <w:rPr>
          <w:color w:val="auto"/>
        </w:rPr>
        <w:t>multa, na forma prevista no instrumento convocatório ou no contrato;</w:t>
      </w:r>
    </w:p>
    <w:p w:rsidR="00B51A96" w:rsidRPr="00E4497A" w:rsidRDefault="00B51A96" w:rsidP="00B51A96">
      <w:pPr>
        <w:pStyle w:val="Default"/>
        <w:jc w:val="both"/>
        <w:rPr>
          <w:color w:val="auto"/>
        </w:rPr>
      </w:pPr>
      <w:r w:rsidRPr="00E4497A">
        <w:rPr>
          <w:b/>
          <w:bCs/>
          <w:color w:val="auto"/>
        </w:rPr>
        <w:t>III -</w:t>
      </w:r>
      <w:r w:rsidR="00BB70BB" w:rsidRPr="00E4497A">
        <w:rPr>
          <w:b/>
          <w:bCs/>
          <w:color w:val="auto"/>
        </w:rPr>
        <w:t xml:space="preserve"> </w:t>
      </w:r>
      <w:r w:rsidRPr="00E4497A">
        <w:rPr>
          <w:color w:val="auto"/>
        </w:rPr>
        <w:t xml:space="preserve">suspensão temporária de participação em licitação e impedimento de contratar com a Administração, por prazo não superior a </w:t>
      </w:r>
      <w:proofErr w:type="gramStart"/>
      <w:r w:rsidRPr="00E4497A">
        <w:rPr>
          <w:color w:val="auto"/>
        </w:rPr>
        <w:t>2</w:t>
      </w:r>
      <w:proofErr w:type="gramEnd"/>
      <w:r w:rsidRPr="00E4497A">
        <w:rPr>
          <w:color w:val="auto"/>
        </w:rPr>
        <w:t xml:space="preserve"> (dois) anos;</w:t>
      </w:r>
    </w:p>
    <w:p w:rsidR="00B51A96" w:rsidRPr="00E4497A" w:rsidRDefault="00B51A96" w:rsidP="00B51A96">
      <w:pPr>
        <w:pStyle w:val="Default"/>
        <w:jc w:val="both"/>
        <w:rPr>
          <w:color w:val="auto"/>
        </w:rPr>
      </w:pPr>
      <w:r w:rsidRPr="00E4497A">
        <w:rPr>
          <w:b/>
          <w:bCs/>
          <w:color w:val="auto"/>
        </w:rPr>
        <w:t>IV -</w:t>
      </w:r>
      <w:r w:rsidR="00BB70BB" w:rsidRPr="00E4497A">
        <w:rPr>
          <w:b/>
          <w:bCs/>
          <w:color w:val="auto"/>
        </w:rPr>
        <w:t xml:space="preserve"> </w:t>
      </w:r>
      <w:r w:rsidRPr="00E4497A">
        <w:rPr>
          <w:color w:val="auto"/>
        </w:rPr>
        <w:t>declaração de inidoneidade para licitar ou contratar com a Administração Pública e</w:t>
      </w:r>
      <w:r w:rsidRPr="00E4497A">
        <w:rPr>
          <w:color w:val="auto"/>
        </w:rPr>
        <w:t>n</w:t>
      </w:r>
      <w:r w:rsidRPr="00E4497A">
        <w:rPr>
          <w:color w:val="auto"/>
        </w:rPr>
        <w:t xml:space="preserve">quanto perdurarem os motivos determinantes de punição ou até que seja promovida a reabilitação perante a própria autoridade que aplicou a penalidade, que será concedida sempre que o contratado ressarcir a Administração pelos prejuízos resultantes e </w:t>
      </w:r>
      <w:proofErr w:type="gramStart"/>
      <w:r w:rsidRPr="00E4497A">
        <w:rPr>
          <w:color w:val="auto"/>
        </w:rPr>
        <w:t>após</w:t>
      </w:r>
      <w:proofErr w:type="gramEnd"/>
      <w:r w:rsidRPr="00E4497A">
        <w:rPr>
          <w:color w:val="auto"/>
        </w:rPr>
        <w:t xml:space="preserve"> decorrido o prazo da sanção aplicada com base no inciso anterior.</w:t>
      </w:r>
    </w:p>
    <w:p w:rsidR="00B449F3" w:rsidRPr="00E4497A" w:rsidRDefault="00B51A96" w:rsidP="00B51A96">
      <w:pPr>
        <w:pStyle w:val="Default"/>
        <w:jc w:val="both"/>
      </w:pPr>
      <w:r w:rsidRPr="00E4497A">
        <w:rPr>
          <w:b/>
          <w:color w:val="auto"/>
        </w:rPr>
        <w:t>a)</w:t>
      </w:r>
      <w:r w:rsidRPr="00E4497A">
        <w:rPr>
          <w:color w:val="auto"/>
        </w:rPr>
        <w:t xml:space="preserve"> as sanções previstas nos incisos I, III e IV deste artigo poderão ser aplicadas juntame</w:t>
      </w:r>
      <w:r w:rsidRPr="00E4497A">
        <w:rPr>
          <w:color w:val="auto"/>
        </w:rPr>
        <w:t>n</w:t>
      </w:r>
      <w:r w:rsidRPr="00E4497A">
        <w:rPr>
          <w:color w:val="auto"/>
        </w:rPr>
        <w:t xml:space="preserve">te com a do inciso II, facultada a defesa prévia do interessado, no respectivo processo, no prazo de </w:t>
      </w:r>
      <w:proofErr w:type="gramStart"/>
      <w:r w:rsidRPr="00E4497A">
        <w:rPr>
          <w:color w:val="auto"/>
        </w:rPr>
        <w:t>5</w:t>
      </w:r>
      <w:proofErr w:type="gramEnd"/>
      <w:r w:rsidRPr="00E4497A">
        <w:rPr>
          <w:color w:val="auto"/>
        </w:rPr>
        <w:t xml:space="preserve"> (cinco) dias úteis.</w:t>
      </w:r>
    </w:p>
    <w:p w:rsidR="00B449F3" w:rsidRPr="00E4497A" w:rsidRDefault="00B449F3" w:rsidP="00B51A96">
      <w:pPr>
        <w:pStyle w:val="Standard"/>
        <w:suppressAutoHyphens w:val="0"/>
        <w:autoSpaceDE w:val="0"/>
        <w:jc w:val="both"/>
        <w:rPr>
          <w:rFonts w:ascii="Arial" w:hAnsi="Arial" w:cs="Arial"/>
        </w:rPr>
      </w:pPr>
    </w:p>
    <w:p w:rsidR="00B51A96" w:rsidRPr="00E4497A" w:rsidRDefault="00B51A96" w:rsidP="00B51A96">
      <w:pPr>
        <w:pStyle w:val="Default"/>
        <w:jc w:val="both"/>
        <w:rPr>
          <w:color w:val="auto"/>
        </w:rPr>
      </w:pPr>
      <w:r w:rsidRPr="00E4497A">
        <w:rPr>
          <w:b/>
          <w:bCs/>
          <w:color w:val="auto"/>
        </w:rPr>
        <w:t xml:space="preserve">46. </w:t>
      </w:r>
      <w:r w:rsidRPr="00E4497A">
        <w:rPr>
          <w:color w:val="auto"/>
        </w:rPr>
        <w:t>As sanções previstas nos incisos III e IV do artigo anterior poderão também ser apl</w:t>
      </w:r>
      <w:r w:rsidRPr="00E4497A">
        <w:rPr>
          <w:color w:val="auto"/>
        </w:rPr>
        <w:t>i</w:t>
      </w:r>
      <w:r w:rsidRPr="00E4497A">
        <w:rPr>
          <w:color w:val="auto"/>
        </w:rPr>
        <w:t>cadas às empresas ou aos profissionais que, em razão dos contratos regidos por esta lei:</w:t>
      </w:r>
    </w:p>
    <w:p w:rsidR="00B51A96" w:rsidRPr="00E4497A" w:rsidRDefault="00B51A96" w:rsidP="00B51A96">
      <w:pPr>
        <w:pStyle w:val="Default"/>
        <w:jc w:val="both"/>
        <w:rPr>
          <w:color w:val="auto"/>
        </w:rPr>
      </w:pPr>
      <w:r w:rsidRPr="00E4497A">
        <w:rPr>
          <w:b/>
          <w:bCs/>
          <w:color w:val="auto"/>
        </w:rPr>
        <w:t xml:space="preserve">I </w:t>
      </w:r>
      <w:proofErr w:type="gramStart"/>
      <w:r w:rsidRPr="00E4497A">
        <w:rPr>
          <w:b/>
          <w:bCs/>
          <w:color w:val="auto"/>
        </w:rPr>
        <w:t>-</w:t>
      </w:r>
      <w:r w:rsidRPr="00E4497A">
        <w:rPr>
          <w:color w:val="auto"/>
        </w:rPr>
        <w:t>tenham</w:t>
      </w:r>
      <w:proofErr w:type="gramEnd"/>
      <w:r w:rsidRPr="00E4497A">
        <w:rPr>
          <w:color w:val="auto"/>
        </w:rPr>
        <w:t xml:space="preserve"> sofrido condenação definitiva por praticarem, por meios dolosos, fraude fiscal no recolhimento de quaisquer tributos; </w:t>
      </w:r>
    </w:p>
    <w:p w:rsidR="00B51A96" w:rsidRPr="00E4497A" w:rsidRDefault="00B51A96" w:rsidP="00B51A96">
      <w:pPr>
        <w:pStyle w:val="Default"/>
        <w:jc w:val="both"/>
        <w:rPr>
          <w:color w:val="auto"/>
        </w:rPr>
      </w:pPr>
      <w:r w:rsidRPr="00E4497A">
        <w:rPr>
          <w:b/>
          <w:bCs/>
          <w:color w:val="auto"/>
        </w:rPr>
        <w:lastRenderedPageBreak/>
        <w:t xml:space="preserve">II </w:t>
      </w:r>
      <w:proofErr w:type="gramStart"/>
      <w:r w:rsidRPr="00E4497A">
        <w:rPr>
          <w:b/>
          <w:bCs/>
          <w:color w:val="auto"/>
        </w:rPr>
        <w:t>-</w:t>
      </w:r>
      <w:r w:rsidRPr="00E4497A">
        <w:rPr>
          <w:color w:val="auto"/>
        </w:rPr>
        <w:t>tenham</w:t>
      </w:r>
      <w:proofErr w:type="gramEnd"/>
      <w:r w:rsidRPr="00E4497A">
        <w:rPr>
          <w:color w:val="auto"/>
        </w:rPr>
        <w:t xml:space="preserve"> praticado atos ilícitos visando a frustrar os objetivos da licitação;</w:t>
      </w:r>
    </w:p>
    <w:p w:rsidR="00B51A96" w:rsidRPr="00E4497A" w:rsidRDefault="00B51A96" w:rsidP="00B51A96">
      <w:pPr>
        <w:pStyle w:val="Default"/>
        <w:jc w:val="both"/>
        <w:rPr>
          <w:color w:val="auto"/>
        </w:rPr>
      </w:pPr>
      <w:r w:rsidRPr="00E4497A">
        <w:rPr>
          <w:b/>
          <w:bCs/>
          <w:color w:val="auto"/>
        </w:rPr>
        <w:t xml:space="preserve">III </w:t>
      </w:r>
      <w:proofErr w:type="gramStart"/>
      <w:r w:rsidRPr="00E4497A">
        <w:rPr>
          <w:b/>
          <w:bCs/>
          <w:color w:val="auto"/>
        </w:rPr>
        <w:t>-</w:t>
      </w:r>
      <w:r w:rsidRPr="00E4497A">
        <w:rPr>
          <w:color w:val="auto"/>
        </w:rPr>
        <w:t>demonstrem</w:t>
      </w:r>
      <w:proofErr w:type="gramEnd"/>
      <w:r w:rsidRPr="00E4497A">
        <w:rPr>
          <w:color w:val="auto"/>
        </w:rPr>
        <w:t xml:space="preserve"> não possuir idoneidade para contratar com a Administração em virtude de atos ilícitos praticados.</w:t>
      </w:r>
    </w:p>
    <w:p w:rsidR="00B51A96" w:rsidRPr="00E4497A" w:rsidRDefault="00B51A96" w:rsidP="00B51A96">
      <w:pPr>
        <w:pStyle w:val="Default"/>
        <w:jc w:val="both"/>
        <w:rPr>
          <w:color w:val="auto"/>
        </w:rPr>
      </w:pPr>
      <w:r w:rsidRPr="00E4497A">
        <w:rPr>
          <w:b/>
          <w:bCs/>
          <w:color w:val="auto"/>
        </w:rPr>
        <w:t xml:space="preserve">47. </w:t>
      </w:r>
      <w:r w:rsidRPr="00E4497A">
        <w:rPr>
          <w:color w:val="auto"/>
        </w:rPr>
        <w:t>As penalidades e suspensão de licitar serão obrigatoriamente publicadas no Diário Oficial e jornal de grande circulação.</w:t>
      </w:r>
    </w:p>
    <w:p w:rsidR="00B51A96" w:rsidRPr="00E4497A" w:rsidRDefault="00B51A96" w:rsidP="00B51A96">
      <w:pPr>
        <w:pStyle w:val="Default"/>
        <w:jc w:val="both"/>
        <w:rPr>
          <w:b/>
          <w:bCs/>
          <w:color w:val="auto"/>
        </w:rPr>
      </w:pPr>
    </w:p>
    <w:p w:rsidR="00E4497A" w:rsidRDefault="00E4497A" w:rsidP="00B51A96">
      <w:pPr>
        <w:pStyle w:val="Default"/>
        <w:jc w:val="center"/>
        <w:rPr>
          <w:b/>
          <w:bCs/>
          <w:color w:val="auto"/>
        </w:rPr>
      </w:pPr>
    </w:p>
    <w:p w:rsidR="00B51A96" w:rsidRPr="00E4497A" w:rsidRDefault="00B51A96" w:rsidP="00B51A96">
      <w:pPr>
        <w:pStyle w:val="Default"/>
        <w:jc w:val="center"/>
        <w:rPr>
          <w:b/>
          <w:bCs/>
          <w:color w:val="auto"/>
        </w:rPr>
      </w:pPr>
      <w:r w:rsidRPr="00E4497A">
        <w:rPr>
          <w:b/>
          <w:bCs/>
          <w:color w:val="auto"/>
        </w:rPr>
        <w:t>DAS OBRIGAÇÕES DA CONTRATADA</w:t>
      </w:r>
    </w:p>
    <w:p w:rsidR="00B51A96" w:rsidRPr="00E4497A" w:rsidRDefault="00B51A96" w:rsidP="00B51A96">
      <w:pPr>
        <w:pStyle w:val="Default"/>
        <w:jc w:val="center"/>
        <w:rPr>
          <w:b/>
          <w:bCs/>
          <w:color w:val="auto"/>
        </w:rPr>
      </w:pPr>
    </w:p>
    <w:p w:rsidR="00B51A96" w:rsidRPr="00E4497A" w:rsidRDefault="00B51A96" w:rsidP="00B51A96">
      <w:pPr>
        <w:pStyle w:val="Default"/>
        <w:jc w:val="both"/>
      </w:pPr>
      <w:r w:rsidRPr="00E4497A">
        <w:rPr>
          <w:b/>
          <w:bCs/>
          <w:color w:val="auto"/>
        </w:rPr>
        <w:t xml:space="preserve">48. </w:t>
      </w:r>
      <w:r w:rsidRPr="00E4497A">
        <w:rPr>
          <w:color w:val="auto"/>
        </w:rPr>
        <w:t xml:space="preserve">Realizar os serviços técnicos em conformidade com estabelecido </w:t>
      </w:r>
      <w:proofErr w:type="gramStart"/>
      <w:r w:rsidRPr="00E4497A">
        <w:rPr>
          <w:color w:val="auto"/>
        </w:rPr>
        <w:t>no Edital e Anexos</w:t>
      </w:r>
      <w:proofErr w:type="gramEnd"/>
      <w:r w:rsidRPr="00E4497A">
        <w:rPr>
          <w:color w:val="auto"/>
        </w:rPr>
        <w:t>.</w:t>
      </w:r>
    </w:p>
    <w:p w:rsidR="00B51A96" w:rsidRPr="00E4497A" w:rsidRDefault="00B51A96" w:rsidP="00B51A96">
      <w:pPr>
        <w:pStyle w:val="Default"/>
      </w:pPr>
    </w:p>
    <w:p w:rsidR="00E4497A" w:rsidRDefault="00E4497A" w:rsidP="00B51A96">
      <w:pPr>
        <w:pStyle w:val="Default"/>
        <w:jc w:val="center"/>
        <w:rPr>
          <w:b/>
          <w:bCs/>
          <w:color w:val="auto"/>
        </w:rPr>
      </w:pPr>
    </w:p>
    <w:p w:rsidR="00B51A96" w:rsidRPr="00E4497A" w:rsidRDefault="00B51A96" w:rsidP="00B51A96">
      <w:pPr>
        <w:pStyle w:val="Default"/>
        <w:jc w:val="center"/>
        <w:rPr>
          <w:color w:val="auto"/>
        </w:rPr>
      </w:pPr>
      <w:r w:rsidRPr="00E4497A">
        <w:rPr>
          <w:b/>
          <w:bCs/>
          <w:color w:val="auto"/>
        </w:rPr>
        <w:t>DAS OBRIGAÇÕES DO CONTRATANTE</w:t>
      </w:r>
    </w:p>
    <w:p w:rsidR="00B51A96" w:rsidRPr="00E4497A" w:rsidRDefault="00B51A96" w:rsidP="00B51A96">
      <w:pPr>
        <w:pStyle w:val="Default"/>
        <w:rPr>
          <w:b/>
          <w:bCs/>
          <w:color w:val="auto"/>
        </w:rPr>
      </w:pPr>
    </w:p>
    <w:p w:rsidR="00B51A96" w:rsidRPr="00E4497A" w:rsidRDefault="00B51A96" w:rsidP="00B51A96">
      <w:pPr>
        <w:pStyle w:val="Default"/>
        <w:jc w:val="both"/>
        <w:rPr>
          <w:color w:val="auto"/>
        </w:rPr>
      </w:pPr>
      <w:r w:rsidRPr="00E4497A">
        <w:rPr>
          <w:b/>
          <w:bCs/>
          <w:color w:val="auto"/>
        </w:rPr>
        <w:t xml:space="preserve">49. </w:t>
      </w:r>
      <w:r w:rsidRPr="00E4497A">
        <w:rPr>
          <w:color w:val="auto"/>
        </w:rPr>
        <w:t>Comunicar à empresa vencedora todas e quaisquer ocorrências relacionadas ao obj</w:t>
      </w:r>
      <w:r w:rsidRPr="00E4497A">
        <w:rPr>
          <w:color w:val="auto"/>
        </w:rPr>
        <w:t>e</w:t>
      </w:r>
      <w:r w:rsidRPr="00E4497A">
        <w:rPr>
          <w:color w:val="auto"/>
        </w:rPr>
        <w:t>to.</w:t>
      </w:r>
    </w:p>
    <w:p w:rsidR="00B51A96" w:rsidRPr="00E4497A" w:rsidRDefault="00B51A96" w:rsidP="00B51A96">
      <w:pPr>
        <w:pStyle w:val="Default"/>
        <w:rPr>
          <w:b/>
          <w:bCs/>
          <w:color w:val="auto"/>
        </w:rPr>
      </w:pPr>
    </w:p>
    <w:p w:rsidR="00B51A96" w:rsidRPr="00E4497A" w:rsidRDefault="00B51A96" w:rsidP="00B51A96">
      <w:pPr>
        <w:pStyle w:val="Default"/>
        <w:jc w:val="both"/>
        <w:rPr>
          <w:color w:val="auto"/>
        </w:rPr>
      </w:pPr>
      <w:r w:rsidRPr="00E4497A">
        <w:rPr>
          <w:b/>
          <w:bCs/>
          <w:color w:val="auto"/>
        </w:rPr>
        <w:t xml:space="preserve">50. </w:t>
      </w:r>
      <w:r w:rsidRPr="00E4497A">
        <w:rPr>
          <w:color w:val="auto"/>
        </w:rPr>
        <w:t>Rejeitar no todo ou em parte, o(s) serviço(s) que a empresa entregar fora das espec</w:t>
      </w:r>
      <w:r w:rsidRPr="00E4497A">
        <w:rPr>
          <w:color w:val="auto"/>
        </w:rPr>
        <w:t>i</w:t>
      </w:r>
      <w:r w:rsidRPr="00E4497A">
        <w:rPr>
          <w:color w:val="auto"/>
        </w:rPr>
        <w:t xml:space="preserve">ficações </w:t>
      </w:r>
      <w:proofErr w:type="gramStart"/>
      <w:r w:rsidRPr="00E4497A">
        <w:rPr>
          <w:color w:val="auto"/>
        </w:rPr>
        <w:t>do Edital e Anexos</w:t>
      </w:r>
      <w:proofErr w:type="gramEnd"/>
      <w:r w:rsidRPr="00E4497A">
        <w:rPr>
          <w:color w:val="auto"/>
        </w:rPr>
        <w:t>.</w:t>
      </w:r>
    </w:p>
    <w:p w:rsidR="00B51A96" w:rsidRPr="00E4497A" w:rsidRDefault="00B51A96" w:rsidP="00B51A96">
      <w:pPr>
        <w:pStyle w:val="Default"/>
        <w:jc w:val="both"/>
        <w:rPr>
          <w:color w:val="auto"/>
        </w:rPr>
      </w:pPr>
    </w:p>
    <w:p w:rsidR="00E4497A" w:rsidRDefault="00E4497A" w:rsidP="00E4497A">
      <w:pPr>
        <w:pStyle w:val="Default"/>
        <w:jc w:val="center"/>
        <w:rPr>
          <w:b/>
          <w:bCs/>
          <w:color w:val="auto"/>
        </w:rPr>
      </w:pPr>
    </w:p>
    <w:p w:rsidR="00B51A96" w:rsidRPr="00E4497A" w:rsidRDefault="00B51A96" w:rsidP="00E4497A">
      <w:pPr>
        <w:pStyle w:val="Default"/>
        <w:jc w:val="center"/>
        <w:rPr>
          <w:color w:val="auto"/>
        </w:rPr>
      </w:pPr>
      <w:r w:rsidRPr="00E4497A">
        <w:rPr>
          <w:b/>
          <w:bCs/>
          <w:color w:val="auto"/>
        </w:rPr>
        <w:t>DAS DISPOSIÇÕES FINAIS</w:t>
      </w:r>
    </w:p>
    <w:p w:rsidR="00B51A96" w:rsidRDefault="00B51A96" w:rsidP="00B51A96">
      <w:pPr>
        <w:pStyle w:val="Default"/>
        <w:jc w:val="both"/>
        <w:rPr>
          <w:b/>
          <w:bCs/>
          <w:color w:val="auto"/>
        </w:rPr>
      </w:pPr>
    </w:p>
    <w:p w:rsidR="00E4497A" w:rsidRPr="00E4497A" w:rsidRDefault="00E4497A" w:rsidP="00B51A96">
      <w:pPr>
        <w:pStyle w:val="Default"/>
        <w:jc w:val="both"/>
        <w:rPr>
          <w:b/>
          <w:bCs/>
          <w:color w:val="auto"/>
        </w:rPr>
      </w:pPr>
    </w:p>
    <w:p w:rsidR="00B51A96" w:rsidRPr="00E4497A" w:rsidRDefault="00B51A96" w:rsidP="00B51A96">
      <w:pPr>
        <w:pStyle w:val="Default"/>
        <w:jc w:val="both"/>
        <w:rPr>
          <w:color w:val="auto"/>
        </w:rPr>
      </w:pPr>
      <w:r w:rsidRPr="00E4497A">
        <w:rPr>
          <w:b/>
          <w:bCs/>
          <w:color w:val="auto"/>
        </w:rPr>
        <w:t>51. As proponentes são responsáveis pela fidelidade e legitimidade das inform</w:t>
      </w:r>
      <w:r w:rsidRPr="00E4497A">
        <w:rPr>
          <w:b/>
          <w:bCs/>
          <w:color w:val="auto"/>
        </w:rPr>
        <w:t>a</w:t>
      </w:r>
      <w:r w:rsidRPr="00E4497A">
        <w:rPr>
          <w:b/>
          <w:bCs/>
          <w:color w:val="auto"/>
        </w:rPr>
        <w:t>ções e dos documentos apresentados em qualquer fase da licitação.</w:t>
      </w:r>
    </w:p>
    <w:p w:rsidR="00B51A96" w:rsidRPr="00E4497A" w:rsidRDefault="00B51A96" w:rsidP="00B51A96">
      <w:pPr>
        <w:pStyle w:val="Default"/>
        <w:jc w:val="both"/>
        <w:rPr>
          <w:b/>
          <w:bCs/>
          <w:color w:val="auto"/>
        </w:rPr>
      </w:pPr>
    </w:p>
    <w:p w:rsidR="00B51A96" w:rsidRPr="00E4497A" w:rsidRDefault="00B51A96" w:rsidP="00B51A96">
      <w:pPr>
        <w:pStyle w:val="Default"/>
        <w:jc w:val="both"/>
        <w:rPr>
          <w:b/>
          <w:bCs/>
          <w:color w:val="auto"/>
        </w:rPr>
      </w:pPr>
      <w:r w:rsidRPr="00E4497A">
        <w:rPr>
          <w:b/>
          <w:bCs/>
          <w:color w:val="auto"/>
        </w:rPr>
        <w:t>52. A participação no procedimento licitatório implica, automaticamente, a aceit</w:t>
      </w:r>
      <w:r w:rsidRPr="00E4497A">
        <w:rPr>
          <w:b/>
          <w:bCs/>
          <w:color w:val="auto"/>
        </w:rPr>
        <w:t>a</w:t>
      </w:r>
      <w:r w:rsidRPr="00E4497A">
        <w:rPr>
          <w:b/>
          <w:bCs/>
          <w:color w:val="auto"/>
        </w:rPr>
        <w:t xml:space="preserve">ção integral dos termos deste Edital e </w:t>
      </w:r>
      <w:proofErr w:type="gramStart"/>
      <w:r w:rsidRPr="00E4497A">
        <w:rPr>
          <w:b/>
          <w:bCs/>
          <w:color w:val="auto"/>
        </w:rPr>
        <w:t>seu Anexos</w:t>
      </w:r>
      <w:proofErr w:type="gramEnd"/>
      <w:r w:rsidRPr="00E4497A">
        <w:rPr>
          <w:b/>
          <w:bCs/>
          <w:color w:val="auto"/>
        </w:rPr>
        <w:t>, regulamentos, instruções e leis aplicáveis.</w:t>
      </w:r>
    </w:p>
    <w:p w:rsidR="00B51A96" w:rsidRPr="00E4497A" w:rsidRDefault="00B51A96" w:rsidP="00B51A96">
      <w:pPr>
        <w:pStyle w:val="Default"/>
        <w:jc w:val="both"/>
        <w:rPr>
          <w:b/>
          <w:bCs/>
          <w:color w:val="auto"/>
        </w:rPr>
      </w:pPr>
    </w:p>
    <w:p w:rsidR="00B51A96" w:rsidRPr="00E4497A" w:rsidRDefault="00B51A96" w:rsidP="00B51A96">
      <w:pPr>
        <w:pStyle w:val="Default"/>
        <w:jc w:val="both"/>
        <w:rPr>
          <w:color w:val="auto"/>
        </w:rPr>
      </w:pPr>
      <w:r w:rsidRPr="00E4497A">
        <w:rPr>
          <w:b/>
          <w:bCs/>
          <w:color w:val="auto"/>
        </w:rPr>
        <w:t xml:space="preserve">53. </w:t>
      </w:r>
      <w:r w:rsidRPr="00E4497A">
        <w:rPr>
          <w:color w:val="auto"/>
        </w:rPr>
        <w:t>O processo licitatório será homologado pela autoridade competente, observados os critérios de julgamento estabelecidos neste edital.</w:t>
      </w:r>
    </w:p>
    <w:p w:rsidR="00B51A96" w:rsidRPr="00E4497A" w:rsidRDefault="00B51A96" w:rsidP="00B51A96">
      <w:pPr>
        <w:pStyle w:val="Default"/>
        <w:jc w:val="both"/>
        <w:rPr>
          <w:b/>
          <w:bCs/>
          <w:color w:val="auto"/>
        </w:rPr>
      </w:pPr>
    </w:p>
    <w:p w:rsidR="00B51A96" w:rsidRPr="00E4497A" w:rsidRDefault="00B51A96" w:rsidP="00B51A96">
      <w:pPr>
        <w:pStyle w:val="Default"/>
        <w:jc w:val="both"/>
        <w:rPr>
          <w:color w:val="auto"/>
        </w:rPr>
      </w:pPr>
      <w:r w:rsidRPr="00E4497A">
        <w:rPr>
          <w:b/>
          <w:bCs/>
          <w:color w:val="auto"/>
        </w:rPr>
        <w:t xml:space="preserve">54. </w:t>
      </w:r>
      <w:r w:rsidRPr="00E4497A">
        <w:rPr>
          <w:color w:val="auto"/>
        </w:rPr>
        <w:t>As Atas de Reunião exaradas pela Comissão Permanente de Licitação, atinentes à habilitação e julgamento, bem como os atos e procedimentos relativos aos recursos inte</w:t>
      </w:r>
      <w:r w:rsidRPr="00E4497A">
        <w:rPr>
          <w:color w:val="auto"/>
        </w:rPr>
        <w:t>r</w:t>
      </w:r>
      <w:r w:rsidRPr="00E4497A">
        <w:rPr>
          <w:color w:val="auto"/>
        </w:rPr>
        <w:t>postos, serão publicadas no Diário Oficial do Estado de Goiás, para notificação dos int</w:t>
      </w:r>
      <w:r w:rsidRPr="00E4497A">
        <w:rPr>
          <w:color w:val="auto"/>
        </w:rPr>
        <w:t>e</w:t>
      </w:r>
      <w:r w:rsidRPr="00E4497A">
        <w:rPr>
          <w:color w:val="auto"/>
        </w:rPr>
        <w:t xml:space="preserve">ressados, e divulgadas no quadro de avisos da licitação e na Internet pelo site </w:t>
      </w:r>
      <w:hyperlink r:id="rId9" w:history="1">
        <w:r w:rsidRPr="00E4497A">
          <w:rPr>
            <w:rStyle w:val="Hyperlink"/>
            <w:b/>
            <w:bCs/>
          </w:rPr>
          <w:t>www.tce.go.gov.br</w:t>
        </w:r>
      </w:hyperlink>
      <w:r w:rsidRPr="00E4497A">
        <w:rPr>
          <w:b/>
          <w:bCs/>
          <w:color w:val="auto"/>
        </w:rPr>
        <w:t xml:space="preserve">, </w:t>
      </w:r>
      <w:r w:rsidRPr="00E4497A">
        <w:rPr>
          <w:color w:val="auto"/>
        </w:rPr>
        <w:t>para conhecimento público.</w:t>
      </w:r>
    </w:p>
    <w:p w:rsidR="00B51A96" w:rsidRPr="00E4497A" w:rsidRDefault="00B51A96" w:rsidP="00B51A96">
      <w:pPr>
        <w:pStyle w:val="Default"/>
        <w:jc w:val="both"/>
        <w:rPr>
          <w:b/>
          <w:bCs/>
          <w:color w:val="auto"/>
        </w:rPr>
      </w:pPr>
    </w:p>
    <w:p w:rsidR="00B51A96" w:rsidRPr="00E4497A" w:rsidRDefault="00B51A96" w:rsidP="00B51A96">
      <w:pPr>
        <w:pStyle w:val="Default"/>
        <w:jc w:val="both"/>
        <w:rPr>
          <w:color w:val="auto"/>
        </w:rPr>
      </w:pPr>
      <w:r w:rsidRPr="00E4497A">
        <w:rPr>
          <w:b/>
          <w:bCs/>
          <w:color w:val="auto"/>
        </w:rPr>
        <w:t xml:space="preserve">55. </w:t>
      </w:r>
      <w:r w:rsidRPr="00E4497A">
        <w:rPr>
          <w:color w:val="auto"/>
        </w:rPr>
        <w:t>O adjudicatário fica obrigado a aceitar, nas mesmas condições propostas, os acrésc</w:t>
      </w:r>
      <w:r w:rsidRPr="00E4497A">
        <w:rPr>
          <w:color w:val="auto"/>
        </w:rPr>
        <w:t>i</w:t>
      </w:r>
      <w:r w:rsidRPr="00E4497A">
        <w:rPr>
          <w:color w:val="auto"/>
        </w:rPr>
        <w:t>mos e as supressões nos limites e condições estabelecidos na Lei 8.666/93 e suas mod</w:t>
      </w:r>
      <w:r w:rsidRPr="00E4497A">
        <w:rPr>
          <w:color w:val="auto"/>
        </w:rPr>
        <w:t>i</w:t>
      </w:r>
      <w:r w:rsidRPr="00E4497A">
        <w:rPr>
          <w:color w:val="auto"/>
        </w:rPr>
        <w:t>ficações posteriores.</w:t>
      </w:r>
    </w:p>
    <w:p w:rsidR="00B51A96" w:rsidRPr="00E4497A" w:rsidRDefault="00B51A96" w:rsidP="00B51A96">
      <w:pPr>
        <w:pStyle w:val="Default"/>
        <w:jc w:val="both"/>
        <w:rPr>
          <w:b/>
          <w:bCs/>
          <w:color w:val="auto"/>
        </w:rPr>
      </w:pPr>
    </w:p>
    <w:p w:rsidR="00B51A96" w:rsidRPr="00E4497A" w:rsidRDefault="00B51A96" w:rsidP="00B51A96">
      <w:pPr>
        <w:pStyle w:val="Default"/>
        <w:jc w:val="both"/>
      </w:pPr>
      <w:r w:rsidRPr="00E4497A">
        <w:rPr>
          <w:b/>
          <w:bCs/>
          <w:color w:val="auto"/>
        </w:rPr>
        <w:t xml:space="preserve">56. </w:t>
      </w:r>
      <w:r w:rsidRPr="00E4497A">
        <w:rPr>
          <w:color w:val="auto"/>
        </w:rPr>
        <w:t xml:space="preserve">Se o adjudicatário, por motivo justo e devidamente aceito pelo adjudicador, não puder atender o contrato no prazo e nas condições propostas, o Tribunal de Contas do Estado </w:t>
      </w:r>
      <w:r w:rsidRPr="00E4497A">
        <w:rPr>
          <w:color w:val="auto"/>
        </w:rPr>
        <w:lastRenderedPageBreak/>
        <w:t xml:space="preserve">de Goiás poderá convocar outro licitante, segundo a ordem de classificação, para fazê-lo em igual prazo e nas mesmas condições propostas pelo primeiro classificado, inclusive quanto aos preços, ou </w:t>
      </w:r>
      <w:proofErr w:type="gramStart"/>
      <w:r w:rsidRPr="00E4497A">
        <w:rPr>
          <w:color w:val="auto"/>
        </w:rPr>
        <w:t>proceder</w:t>
      </w:r>
      <w:proofErr w:type="gramEnd"/>
      <w:r w:rsidRPr="00E4497A">
        <w:rPr>
          <w:color w:val="auto"/>
        </w:rPr>
        <w:t xml:space="preserve"> nova licitação.</w:t>
      </w:r>
    </w:p>
    <w:p w:rsidR="00B51A96" w:rsidRPr="00E4497A" w:rsidRDefault="00B51A96" w:rsidP="00B51A96">
      <w:pPr>
        <w:pStyle w:val="Default"/>
      </w:pPr>
    </w:p>
    <w:p w:rsidR="00B51A96" w:rsidRPr="00E4497A" w:rsidRDefault="00B51A96" w:rsidP="00B51A96">
      <w:pPr>
        <w:pStyle w:val="Default"/>
        <w:jc w:val="both"/>
        <w:rPr>
          <w:color w:val="auto"/>
        </w:rPr>
      </w:pPr>
      <w:r w:rsidRPr="00E4497A">
        <w:rPr>
          <w:b/>
          <w:bCs/>
          <w:color w:val="auto"/>
        </w:rPr>
        <w:t xml:space="preserve">57. </w:t>
      </w:r>
      <w:r w:rsidRPr="00E4497A">
        <w:rPr>
          <w:color w:val="auto"/>
        </w:rPr>
        <w:t>Considerar-se-á cumprido o contrato, após verificação da obra executada, e cons</w:t>
      </w:r>
      <w:r w:rsidRPr="00E4497A">
        <w:rPr>
          <w:color w:val="auto"/>
        </w:rPr>
        <w:t>e</w:t>
      </w:r>
      <w:r w:rsidRPr="00E4497A">
        <w:rPr>
          <w:color w:val="auto"/>
        </w:rPr>
        <w:t>quente aceitação pelo Tribunal de Contas do Estado de Goiás.</w:t>
      </w:r>
    </w:p>
    <w:p w:rsidR="00B51A96" w:rsidRPr="00E4497A" w:rsidRDefault="00B51A96" w:rsidP="00B51A96">
      <w:pPr>
        <w:pStyle w:val="Default"/>
        <w:jc w:val="both"/>
        <w:rPr>
          <w:b/>
          <w:bCs/>
          <w:color w:val="auto"/>
        </w:rPr>
      </w:pPr>
    </w:p>
    <w:p w:rsidR="00B51A96" w:rsidRPr="00E4497A" w:rsidRDefault="00B51A96" w:rsidP="00B51A96">
      <w:pPr>
        <w:pStyle w:val="Default"/>
        <w:jc w:val="both"/>
        <w:rPr>
          <w:color w:val="auto"/>
        </w:rPr>
      </w:pPr>
      <w:r w:rsidRPr="00E4497A">
        <w:rPr>
          <w:b/>
          <w:bCs/>
          <w:color w:val="auto"/>
        </w:rPr>
        <w:t xml:space="preserve">58. </w:t>
      </w:r>
      <w:r w:rsidRPr="00E4497A">
        <w:rPr>
          <w:color w:val="auto"/>
        </w:rPr>
        <w:t>Quaisquer pedidos de esclarecimentos em relação a eventuais dúvidas de compree</w:t>
      </w:r>
      <w:r w:rsidRPr="00E4497A">
        <w:rPr>
          <w:color w:val="auto"/>
        </w:rPr>
        <w:t>n</w:t>
      </w:r>
      <w:r w:rsidRPr="00E4497A">
        <w:rPr>
          <w:color w:val="auto"/>
        </w:rPr>
        <w:t>são ou interpretação do edital e seus anexos, deverão ser formulados por escrito, à C</w:t>
      </w:r>
      <w:r w:rsidRPr="00E4497A">
        <w:rPr>
          <w:color w:val="auto"/>
        </w:rPr>
        <w:t>o</w:t>
      </w:r>
      <w:r w:rsidRPr="00E4497A">
        <w:rPr>
          <w:color w:val="auto"/>
        </w:rPr>
        <w:t xml:space="preserve">missão Permanente de Licitação, em até </w:t>
      </w:r>
      <w:proofErr w:type="gramStart"/>
      <w:r w:rsidRPr="00E4497A">
        <w:rPr>
          <w:color w:val="auto"/>
        </w:rPr>
        <w:t>5</w:t>
      </w:r>
      <w:proofErr w:type="gramEnd"/>
      <w:r w:rsidRPr="00E4497A">
        <w:rPr>
          <w:color w:val="auto"/>
        </w:rPr>
        <w:t xml:space="preserve"> (cinco) dias úteis antecedentes à abertura dos envelopes de documentação.</w:t>
      </w:r>
    </w:p>
    <w:p w:rsidR="00B51A96" w:rsidRPr="00E4497A" w:rsidRDefault="00B51A96" w:rsidP="00B51A96">
      <w:pPr>
        <w:pStyle w:val="Default"/>
        <w:jc w:val="both"/>
        <w:rPr>
          <w:b/>
          <w:bCs/>
          <w:color w:val="auto"/>
        </w:rPr>
      </w:pPr>
    </w:p>
    <w:p w:rsidR="00B51A96" w:rsidRPr="00E4497A" w:rsidRDefault="00B51A96" w:rsidP="00B51A96">
      <w:pPr>
        <w:pStyle w:val="Default"/>
        <w:jc w:val="both"/>
        <w:rPr>
          <w:color w:val="auto"/>
        </w:rPr>
      </w:pPr>
      <w:r w:rsidRPr="00E4497A">
        <w:rPr>
          <w:b/>
          <w:bCs/>
          <w:color w:val="auto"/>
        </w:rPr>
        <w:t xml:space="preserve">59. </w:t>
      </w:r>
      <w:r w:rsidRPr="00E4497A">
        <w:rPr>
          <w:color w:val="auto"/>
        </w:rPr>
        <w:t>Não serão respondidas as consultas formuladas após o prazo estipulado neste Edital.</w:t>
      </w:r>
    </w:p>
    <w:p w:rsidR="00B51A96" w:rsidRPr="00E4497A" w:rsidRDefault="00B51A96" w:rsidP="00B51A96">
      <w:pPr>
        <w:pStyle w:val="Default"/>
        <w:jc w:val="both"/>
        <w:rPr>
          <w:b/>
          <w:bCs/>
          <w:color w:val="auto"/>
        </w:rPr>
      </w:pPr>
      <w:r w:rsidRPr="00E4497A">
        <w:rPr>
          <w:b/>
          <w:bCs/>
          <w:color w:val="auto"/>
        </w:rPr>
        <w:t xml:space="preserve">60. Não havendo </w:t>
      </w:r>
      <w:proofErr w:type="spellStart"/>
      <w:proofErr w:type="gramStart"/>
      <w:r w:rsidRPr="00E4497A">
        <w:rPr>
          <w:b/>
          <w:bCs/>
          <w:color w:val="auto"/>
        </w:rPr>
        <w:t>consultas,</w:t>
      </w:r>
      <w:proofErr w:type="gramEnd"/>
      <w:r w:rsidRPr="00E4497A">
        <w:rPr>
          <w:b/>
          <w:bCs/>
          <w:color w:val="auto"/>
        </w:rPr>
        <w:t>pressupõe-se</w:t>
      </w:r>
      <w:proofErr w:type="spellEnd"/>
      <w:r w:rsidRPr="00E4497A">
        <w:rPr>
          <w:b/>
          <w:bCs/>
          <w:color w:val="auto"/>
        </w:rPr>
        <w:t xml:space="preserve"> que os elementos fornecidos são sufic</w:t>
      </w:r>
      <w:r w:rsidRPr="00E4497A">
        <w:rPr>
          <w:b/>
          <w:bCs/>
          <w:color w:val="auto"/>
        </w:rPr>
        <w:t>i</w:t>
      </w:r>
      <w:r w:rsidRPr="00E4497A">
        <w:rPr>
          <w:b/>
          <w:bCs/>
          <w:color w:val="auto"/>
        </w:rPr>
        <w:t>entemente claros e precisos, para permitir a participação e formulação das propo</w:t>
      </w:r>
      <w:r w:rsidRPr="00E4497A">
        <w:rPr>
          <w:b/>
          <w:bCs/>
          <w:color w:val="auto"/>
        </w:rPr>
        <w:t>s</w:t>
      </w:r>
      <w:r w:rsidRPr="00E4497A">
        <w:rPr>
          <w:b/>
          <w:bCs/>
          <w:color w:val="auto"/>
        </w:rPr>
        <w:t>tas, pela firma interessada.</w:t>
      </w:r>
    </w:p>
    <w:p w:rsidR="00B51A96" w:rsidRPr="00E4497A" w:rsidRDefault="00B51A96" w:rsidP="00B51A96">
      <w:pPr>
        <w:pStyle w:val="Default"/>
        <w:jc w:val="both"/>
        <w:rPr>
          <w:b/>
          <w:bCs/>
          <w:color w:val="auto"/>
        </w:rPr>
      </w:pPr>
    </w:p>
    <w:p w:rsidR="00B51A96" w:rsidRPr="00E4497A" w:rsidRDefault="00B51A96" w:rsidP="00B51A96">
      <w:pPr>
        <w:pStyle w:val="Default"/>
        <w:jc w:val="both"/>
        <w:rPr>
          <w:b/>
          <w:bCs/>
          <w:color w:val="auto"/>
        </w:rPr>
      </w:pPr>
      <w:r w:rsidRPr="00E4497A">
        <w:rPr>
          <w:b/>
          <w:bCs/>
          <w:color w:val="auto"/>
        </w:rPr>
        <w:t>61. A participação no processo licitatório implica pleno conhecimento do teor deste edital, submissão a todas as condições nele contidas e sujeição às normas da Lei 8.666/93, e suas alterações posteriores.</w:t>
      </w:r>
    </w:p>
    <w:p w:rsidR="00B51A96" w:rsidRPr="00E4497A" w:rsidRDefault="00B51A96" w:rsidP="00B51A96">
      <w:pPr>
        <w:pStyle w:val="Default"/>
        <w:jc w:val="both"/>
        <w:rPr>
          <w:b/>
          <w:bCs/>
          <w:color w:val="auto"/>
        </w:rPr>
      </w:pPr>
    </w:p>
    <w:p w:rsidR="00B51A96" w:rsidRPr="00E4497A" w:rsidRDefault="00B51A96" w:rsidP="00B51A96">
      <w:pPr>
        <w:pStyle w:val="Default"/>
        <w:jc w:val="both"/>
        <w:rPr>
          <w:color w:val="auto"/>
        </w:rPr>
      </w:pPr>
      <w:r w:rsidRPr="00E4497A">
        <w:rPr>
          <w:b/>
          <w:bCs/>
          <w:color w:val="auto"/>
        </w:rPr>
        <w:t xml:space="preserve">62. </w:t>
      </w:r>
      <w:r w:rsidRPr="00E4497A">
        <w:rPr>
          <w:color w:val="auto"/>
        </w:rPr>
        <w:t xml:space="preserve">Na hipótese de não haver expediente no Tribunal de Contas do Estado de Goiás no dia marcado para a reunião de abertura dos envelopes contendo a documentação </w:t>
      </w:r>
      <w:proofErr w:type="spellStart"/>
      <w:r w:rsidRPr="00E4497A">
        <w:rPr>
          <w:color w:val="auto"/>
        </w:rPr>
        <w:t>habil</w:t>
      </w:r>
      <w:r w:rsidRPr="00E4497A">
        <w:rPr>
          <w:color w:val="auto"/>
        </w:rPr>
        <w:t>i</w:t>
      </w:r>
      <w:r w:rsidRPr="00E4497A">
        <w:rPr>
          <w:color w:val="auto"/>
        </w:rPr>
        <w:t>tatória</w:t>
      </w:r>
      <w:proofErr w:type="spellEnd"/>
      <w:r w:rsidRPr="00E4497A">
        <w:rPr>
          <w:color w:val="auto"/>
        </w:rPr>
        <w:t xml:space="preserve"> da presente licitação, fica a mesma, automaticamente, transferida para o 1º (pr</w:t>
      </w:r>
      <w:r w:rsidRPr="00E4497A">
        <w:rPr>
          <w:color w:val="auto"/>
        </w:rPr>
        <w:t>i</w:t>
      </w:r>
      <w:r w:rsidRPr="00E4497A">
        <w:rPr>
          <w:color w:val="auto"/>
        </w:rPr>
        <w:t xml:space="preserve">meiro) dia útil </w:t>
      </w:r>
      <w:proofErr w:type="spellStart"/>
      <w:r w:rsidRPr="00E4497A">
        <w:rPr>
          <w:color w:val="auto"/>
        </w:rPr>
        <w:t>subseqüente</w:t>
      </w:r>
      <w:proofErr w:type="spellEnd"/>
      <w:r w:rsidRPr="00E4497A">
        <w:rPr>
          <w:color w:val="auto"/>
        </w:rPr>
        <w:t>, na mesma hora e local, desde que não haja comunicação da Comissão Especial de Licitação em contrário.</w:t>
      </w:r>
    </w:p>
    <w:p w:rsidR="00B51A96" w:rsidRPr="00E4497A" w:rsidRDefault="00B51A96" w:rsidP="00B51A96">
      <w:pPr>
        <w:pStyle w:val="Default"/>
        <w:rPr>
          <w:color w:val="auto"/>
        </w:rPr>
      </w:pPr>
    </w:p>
    <w:p w:rsidR="00B51A96" w:rsidRPr="00E4497A" w:rsidRDefault="00B51A96" w:rsidP="00B51A96">
      <w:pPr>
        <w:pStyle w:val="Default"/>
        <w:jc w:val="both"/>
        <w:rPr>
          <w:color w:val="auto"/>
        </w:rPr>
      </w:pPr>
      <w:r w:rsidRPr="00E4497A">
        <w:rPr>
          <w:b/>
          <w:bCs/>
          <w:color w:val="auto"/>
        </w:rPr>
        <w:t>6</w:t>
      </w:r>
      <w:r w:rsidR="00BB70BB" w:rsidRPr="00E4497A">
        <w:rPr>
          <w:b/>
          <w:bCs/>
          <w:color w:val="auto"/>
        </w:rPr>
        <w:t>3</w:t>
      </w:r>
      <w:r w:rsidRPr="00E4497A">
        <w:rPr>
          <w:b/>
          <w:bCs/>
          <w:color w:val="auto"/>
        </w:rPr>
        <w:t xml:space="preserve">. </w:t>
      </w:r>
      <w:r w:rsidR="00FA5E9C" w:rsidRPr="00FA5E9C">
        <w:rPr>
          <w:bCs/>
          <w:color w:val="auto"/>
        </w:rPr>
        <w:t>A</w:t>
      </w:r>
      <w:r w:rsidR="00BB70BB" w:rsidRPr="00E4497A">
        <w:rPr>
          <w:b/>
          <w:bCs/>
          <w:color w:val="auto"/>
        </w:rPr>
        <w:t xml:space="preserve"> </w:t>
      </w:r>
      <w:r w:rsidRPr="00E4497A">
        <w:rPr>
          <w:color w:val="auto"/>
        </w:rPr>
        <w:t xml:space="preserve">despesa, objeto da presente licitação, correrá à conta da dotação orçamentária </w:t>
      </w:r>
      <w:r w:rsidR="00BB70BB" w:rsidRPr="00E4497A">
        <w:rPr>
          <w:b/>
        </w:rPr>
        <w:t>2012.0201.01.032.1007.2.350</w:t>
      </w:r>
      <w:r w:rsidR="00BB70BB" w:rsidRPr="00E4497A">
        <w:t>, grupo 03 (outras despesas correntes), natureza de desp</w:t>
      </w:r>
      <w:r w:rsidR="00BB70BB" w:rsidRPr="00E4497A">
        <w:t>e</w:t>
      </w:r>
      <w:r w:rsidR="00BB70BB" w:rsidRPr="00E4497A">
        <w:t>sa 3.3.90.39.18 (Manutenção, Limpeza e Conservação de Bens Móveis)</w:t>
      </w:r>
      <w:r w:rsidRPr="00E4497A">
        <w:rPr>
          <w:color w:val="auto"/>
        </w:rPr>
        <w:t>.</w:t>
      </w:r>
    </w:p>
    <w:p w:rsidR="00BB70BB" w:rsidRDefault="00BB70BB" w:rsidP="00B51A96">
      <w:pPr>
        <w:pStyle w:val="Default"/>
        <w:jc w:val="both"/>
        <w:rPr>
          <w:color w:val="auto"/>
        </w:rPr>
      </w:pPr>
    </w:p>
    <w:p w:rsidR="00E4497A" w:rsidRPr="00E4497A" w:rsidRDefault="00E4497A" w:rsidP="00B51A96">
      <w:pPr>
        <w:pStyle w:val="Default"/>
        <w:jc w:val="both"/>
        <w:rPr>
          <w:color w:val="auto"/>
        </w:rPr>
      </w:pPr>
    </w:p>
    <w:p w:rsidR="00BB70BB" w:rsidRPr="00E4497A" w:rsidRDefault="00BB70BB" w:rsidP="00BB70BB">
      <w:pPr>
        <w:pStyle w:val="Default"/>
        <w:jc w:val="center"/>
        <w:rPr>
          <w:color w:val="auto"/>
        </w:rPr>
      </w:pPr>
      <w:r w:rsidRPr="00E4497A">
        <w:rPr>
          <w:b/>
          <w:bCs/>
          <w:color w:val="auto"/>
        </w:rPr>
        <w:t>DA IMPUGNAÇÃO DO EDITAL</w:t>
      </w:r>
    </w:p>
    <w:p w:rsidR="00BB70BB" w:rsidRDefault="00BB70BB" w:rsidP="00BB70BB">
      <w:pPr>
        <w:pStyle w:val="Default"/>
        <w:rPr>
          <w:b/>
          <w:bCs/>
          <w:color w:val="auto"/>
        </w:rPr>
      </w:pPr>
    </w:p>
    <w:p w:rsidR="00E4497A" w:rsidRPr="00E4497A" w:rsidRDefault="00E4497A" w:rsidP="00BB70BB">
      <w:pPr>
        <w:pStyle w:val="Default"/>
        <w:rPr>
          <w:b/>
          <w:bCs/>
          <w:color w:val="auto"/>
        </w:rPr>
      </w:pPr>
    </w:p>
    <w:p w:rsidR="00BB70BB" w:rsidRPr="00E4497A" w:rsidRDefault="00BB70BB" w:rsidP="00BB70BB">
      <w:pPr>
        <w:pStyle w:val="Default"/>
        <w:jc w:val="both"/>
        <w:rPr>
          <w:color w:val="auto"/>
        </w:rPr>
      </w:pPr>
      <w:r w:rsidRPr="00E4497A">
        <w:rPr>
          <w:b/>
          <w:bCs/>
          <w:color w:val="auto"/>
        </w:rPr>
        <w:t xml:space="preserve">64. Até 05 (cinco) dias úteis </w:t>
      </w:r>
      <w:r w:rsidRPr="00E4497A">
        <w:rPr>
          <w:color w:val="auto"/>
        </w:rPr>
        <w:t>antes da data fixada para recebimento das propostas, qua</w:t>
      </w:r>
      <w:r w:rsidRPr="00E4497A">
        <w:rPr>
          <w:color w:val="auto"/>
        </w:rPr>
        <w:t>l</w:t>
      </w:r>
      <w:r w:rsidRPr="00E4497A">
        <w:rPr>
          <w:color w:val="auto"/>
        </w:rPr>
        <w:t>quer pessoa poderá solicitar esclarecimentos, providências ou impugnar o ato convocat</w:t>
      </w:r>
      <w:r w:rsidRPr="00E4497A">
        <w:rPr>
          <w:color w:val="auto"/>
        </w:rPr>
        <w:t>ó</w:t>
      </w:r>
      <w:r w:rsidRPr="00E4497A">
        <w:rPr>
          <w:color w:val="auto"/>
        </w:rPr>
        <w:t>rio.</w:t>
      </w:r>
    </w:p>
    <w:p w:rsidR="00BB70BB" w:rsidRPr="00E4497A" w:rsidRDefault="00BB70BB" w:rsidP="00BB70BB">
      <w:pPr>
        <w:pStyle w:val="Default"/>
        <w:jc w:val="both"/>
        <w:rPr>
          <w:b/>
          <w:bCs/>
          <w:color w:val="auto"/>
        </w:rPr>
      </w:pPr>
    </w:p>
    <w:p w:rsidR="00BB70BB" w:rsidRPr="00E4497A" w:rsidRDefault="00BB70BB" w:rsidP="00BB70BB">
      <w:pPr>
        <w:pStyle w:val="Default"/>
        <w:jc w:val="both"/>
        <w:rPr>
          <w:color w:val="auto"/>
        </w:rPr>
      </w:pPr>
      <w:r w:rsidRPr="00E4497A">
        <w:rPr>
          <w:b/>
          <w:bCs/>
          <w:color w:val="auto"/>
        </w:rPr>
        <w:t xml:space="preserve">65. </w:t>
      </w:r>
      <w:r w:rsidRPr="00E4497A">
        <w:rPr>
          <w:color w:val="auto"/>
        </w:rPr>
        <w:t>Decairá do direito de impugnar os termos do edital o licitante que não o fizer até o s</w:t>
      </w:r>
      <w:r w:rsidRPr="00E4497A">
        <w:rPr>
          <w:color w:val="auto"/>
        </w:rPr>
        <w:t>e</w:t>
      </w:r>
      <w:r w:rsidRPr="00E4497A">
        <w:rPr>
          <w:color w:val="auto"/>
        </w:rPr>
        <w:t>gundo dia útil que anteceder a abertura dos envelopes de habilitação.</w:t>
      </w:r>
    </w:p>
    <w:p w:rsidR="00BB70BB" w:rsidRPr="00E4497A" w:rsidRDefault="00BB70BB" w:rsidP="00BB70BB">
      <w:pPr>
        <w:pStyle w:val="Default"/>
        <w:jc w:val="both"/>
        <w:rPr>
          <w:b/>
          <w:bCs/>
          <w:color w:val="auto"/>
        </w:rPr>
      </w:pPr>
    </w:p>
    <w:p w:rsidR="00BB70BB" w:rsidRPr="00E4497A" w:rsidRDefault="00BB70BB" w:rsidP="00BB70BB">
      <w:pPr>
        <w:pStyle w:val="Default"/>
        <w:jc w:val="both"/>
        <w:rPr>
          <w:color w:val="auto"/>
        </w:rPr>
      </w:pPr>
      <w:r w:rsidRPr="00E4497A">
        <w:rPr>
          <w:b/>
          <w:bCs/>
          <w:color w:val="auto"/>
        </w:rPr>
        <w:t xml:space="preserve">66. </w:t>
      </w:r>
      <w:r w:rsidRPr="00E4497A">
        <w:rPr>
          <w:color w:val="auto"/>
        </w:rPr>
        <w:t xml:space="preserve">Caberá à Comissão Especial de Licitação julgar e decidir sobre a petição </w:t>
      </w:r>
      <w:r w:rsidRPr="00E4497A">
        <w:rPr>
          <w:b/>
          <w:bCs/>
          <w:color w:val="auto"/>
        </w:rPr>
        <w:t>no prazo de 02 (dois) dias.</w:t>
      </w:r>
    </w:p>
    <w:p w:rsidR="00BB70BB" w:rsidRPr="00E4497A" w:rsidRDefault="00BB70BB" w:rsidP="00BB70BB">
      <w:pPr>
        <w:pStyle w:val="Default"/>
        <w:jc w:val="both"/>
        <w:rPr>
          <w:b/>
          <w:bCs/>
          <w:color w:val="auto"/>
        </w:rPr>
      </w:pPr>
    </w:p>
    <w:p w:rsidR="00BB70BB" w:rsidRPr="00E4497A" w:rsidRDefault="00BB70BB" w:rsidP="00BB70BB">
      <w:pPr>
        <w:pStyle w:val="Default"/>
        <w:jc w:val="both"/>
        <w:rPr>
          <w:color w:val="auto"/>
        </w:rPr>
      </w:pPr>
      <w:r w:rsidRPr="00E4497A">
        <w:rPr>
          <w:b/>
          <w:bCs/>
          <w:color w:val="auto"/>
        </w:rPr>
        <w:lastRenderedPageBreak/>
        <w:t xml:space="preserve">67. </w:t>
      </w:r>
      <w:r w:rsidRPr="00E4497A">
        <w:rPr>
          <w:color w:val="auto"/>
        </w:rPr>
        <w:t>Acolhida a petição contra o ato convocatório, será designada nova data para a real</w:t>
      </w:r>
      <w:r w:rsidRPr="00E4497A">
        <w:rPr>
          <w:color w:val="auto"/>
        </w:rPr>
        <w:t>i</w:t>
      </w:r>
      <w:r w:rsidRPr="00E4497A">
        <w:rPr>
          <w:color w:val="auto"/>
        </w:rPr>
        <w:t>zação do certame. Para conhecimento dos interessados, lavrou-se o presente edital, que ficará afixado no quadro de avisos da Comissão Especial de Licitação, localizado no té</w:t>
      </w:r>
      <w:r w:rsidRPr="00E4497A">
        <w:rPr>
          <w:color w:val="auto"/>
        </w:rPr>
        <w:t>r</w:t>
      </w:r>
      <w:r w:rsidRPr="00E4497A">
        <w:rPr>
          <w:color w:val="auto"/>
        </w:rPr>
        <w:t>reo do Bloco “A” do Tribunal de Contas do Estado de Goiás, na Praça Cívica nº 332, Ce</w:t>
      </w:r>
      <w:r w:rsidRPr="00E4497A">
        <w:rPr>
          <w:color w:val="auto"/>
        </w:rPr>
        <w:t>n</w:t>
      </w:r>
      <w:r w:rsidRPr="00E4497A">
        <w:rPr>
          <w:color w:val="auto"/>
        </w:rPr>
        <w:t xml:space="preserve">tro, em Goiânia-GO, estando a Comissão à disposição dos interessados no horário de 08h00 as 18h00, pelo </w:t>
      </w:r>
      <w:r w:rsidRPr="00E4497A">
        <w:rPr>
          <w:b/>
          <w:bCs/>
          <w:color w:val="auto"/>
        </w:rPr>
        <w:t>telefone (062) 3201-9007 ou 3201-</w:t>
      </w:r>
      <w:proofErr w:type="gramStart"/>
      <w:r w:rsidRPr="00E4497A">
        <w:rPr>
          <w:b/>
          <w:bCs/>
          <w:color w:val="auto"/>
        </w:rPr>
        <w:t>9060,</w:t>
      </w:r>
      <w:proofErr w:type="gramEnd"/>
      <w:r w:rsidRPr="00E4497A">
        <w:rPr>
          <w:color w:val="auto"/>
        </w:rPr>
        <w:t>pela internet no endereço: www.tce.go.gov.br</w:t>
      </w:r>
      <w:r w:rsidRPr="00E4497A">
        <w:rPr>
          <w:b/>
          <w:bCs/>
          <w:color w:val="auto"/>
        </w:rPr>
        <w:t>.</w:t>
      </w:r>
    </w:p>
    <w:p w:rsidR="00B51A96" w:rsidRPr="00E4497A" w:rsidRDefault="00B51A96" w:rsidP="00B449F3">
      <w:pPr>
        <w:pStyle w:val="Standard"/>
        <w:suppressAutoHyphens w:val="0"/>
        <w:autoSpaceDE w:val="0"/>
        <w:jc w:val="both"/>
        <w:rPr>
          <w:rFonts w:ascii="Arial" w:hAnsi="Arial" w:cs="Arial"/>
        </w:rPr>
      </w:pPr>
    </w:p>
    <w:p w:rsidR="00475853" w:rsidRPr="00E4497A" w:rsidRDefault="00475853">
      <w:pPr>
        <w:pStyle w:val="Standard"/>
        <w:jc w:val="both"/>
        <w:rPr>
          <w:rFonts w:ascii="Arial" w:hAnsi="Arial" w:cs="Arial"/>
          <w:b/>
        </w:rPr>
      </w:pPr>
    </w:p>
    <w:p w:rsidR="00475853" w:rsidRPr="00E4497A" w:rsidRDefault="00475853">
      <w:pPr>
        <w:pStyle w:val="Standard"/>
        <w:jc w:val="both"/>
        <w:rPr>
          <w:rFonts w:ascii="Arial" w:hAnsi="Arial" w:cs="Arial"/>
          <w:b/>
        </w:rPr>
      </w:pPr>
    </w:p>
    <w:p w:rsidR="004B5FCE" w:rsidRPr="00E4497A" w:rsidRDefault="008B03B4" w:rsidP="00B61FDC">
      <w:pPr>
        <w:pStyle w:val="Ttulodatabela"/>
        <w:snapToGrid w:val="0"/>
        <w:ind w:firstLine="1701"/>
        <w:jc w:val="both"/>
        <w:rPr>
          <w:rFonts w:ascii="Arial" w:hAnsi="Arial" w:cs="Arial"/>
          <w:i w:val="0"/>
        </w:rPr>
      </w:pPr>
      <w:r w:rsidRPr="00E4497A">
        <w:rPr>
          <w:rFonts w:ascii="Arial" w:hAnsi="Arial" w:cs="Arial"/>
          <w:i w:val="0"/>
        </w:rPr>
        <w:t>COMISSÃO PERMANENTE DE LICITAÇÃO</w:t>
      </w:r>
      <w:r w:rsidRPr="00E4497A">
        <w:rPr>
          <w:rFonts w:ascii="Arial" w:hAnsi="Arial" w:cs="Arial"/>
          <w:b w:val="0"/>
          <w:i w:val="0"/>
        </w:rPr>
        <w:t xml:space="preserve"> do Tribunal de Contas do Estado, em Goiânia, aos </w:t>
      </w:r>
      <w:r w:rsidR="00E5460E">
        <w:rPr>
          <w:rFonts w:ascii="Arial" w:hAnsi="Arial" w:cs="Arial"/>
          <w:b w:val="0"/>
          <w:i w:val="0"/>
        </w:rPr>
        <w:t>28</w:t>
      </w:r>
      <w:r w:rsidRPr="00E4497A">
        <w:rPr>
          <w:rFonts w:ascii="Arial" w:hAnsi="Arial" w:cs="Arial"/>
          <w:b w:val="0"/>
          <w:i w:val="0"/>
        </w:rPr>
        <w:t xml:space="preserve"> de </w:t>
      </w:r>
      <w:r w:rsidR="00E5460E">
        <w:rPr>
          <w:rFonts w:ascii="Arial" w:hAnsi="Arial" w:cs="Arial"/>
          <w:b w:val="0"/>
          <w:i w:val="0"/>
        </w:rPr>
        <w:t>agosto</w:t>
      </w:r>
      <w:bookmarkStart w:id="0" w:name="_GoBack"/>
      <w:bookmarkEnd w:id="0"/>
      <w:r w:rsidRPr="00E4497A">
        <w:rPr>
          <w:rFonts w:ascii="Arial" w:hAnsi="Arial" w:cs="Arial"/>
          <w:b w:val="0"/>
          <w:i w:val="0"/>
        </w:rPr>
        <w:t xml:space="preserve"> de 2012</w:t>
      </w:r>
      <w:r w:rsidRPr="00E4497A">
        <w:rPr>
          <w:rFonts w:ascii="Arial" w:hAnsi="Arial" w:cs="Arial"/>
        </w:rPr>
        <w:t>.</w:t>
      </w:r>
      <w:r w:rsidR="004B5FCE" w:rsidRPr="00E4497A">
        <w:rPr>
          <w:rFonts w:ascii="Arial" w:hAnsi="Arial" w:cs="Arial"/>
          <w:i w:val="0"/>
        </w:rPr>
        <w:t xml:space="preserve"> </w:t>
      </w:r>
    </w:p>
    <w:p w:rsidR="004B5FCE" w:rsidRPr="00E4497A" w:rsidRDefault="004B5FCE" w:rsidP="004B5FCE">
      <w:pPr>
        <w:pStyle w:val="Ttulodatabela"/>
        <w:snapToGrid w:val="0"/>
        <w:rPr>
          <w:rFonts w:ascii="Arial" w:hAnsi="Arial" w:cs="Arial"/>
          <w:i w:val="0"/>
        </w:rPr>
      </w:pPr>
    </w:p>
    <w:p w:rsidR="004B5FCE" w:rsidRPr="00E4497A" w:rsidRDefault="004B5FCE" w:rsidP="004B5FCE">
      <w:pPr>
        <w:pStyle w:val="Ttulodatabela"/>
        <w:snapToGrid w:val="0"/>
        <w:rPr>
          <w:rFonts w:ascii="Arial" w:hAnsi="Arial" w:cs="Arial"/>
          <w:i w:val="0"/>
        </w:rPr>
      </w:pPr>
    </w:p>
    <w:p w:rsidR="009F707E" w:rsidRDefault="009F707E" w:rsidP="004B5FCE">
      <w:pPr>
        <w:pStyle w:val="Ttulodatabela"/>
        <w:snapToGrid w:val="0"/>
        <w:rPr>
          <w:rFonts w:ascii="Arial" w:hAnsi="Arial" w:cs="Arial"/>
          <w:i w:val="0"/>
        </w:rPr>
      </w:pPr>
    </w:p>
    <w:p w:rsidR="004B5FCE" w:rsidRPr="00E4497A" w:rsidRDefault="004B5FCE" w:rsidP="004B5FCE">
      <w:pPr>
        <w:pStyle w:val="Ttulodatabela"/>
        <w:snapToGrid w:val="0"/>
        <w:rPr>
          <w:rFonts w:ascii="Arial" w:hAnsi="Arial" w:cs="Arial"/>
          <w:i w:val="0"/>
        </w:rPr>
      </w:pPr>
      <w:r w:rsidRPr="00E4497A">
        <w:rPr>
          <w:rFonts w:ascii="Arial" w:hAnsi="Arial" w:cs="Arial"/>
          <w:i w:val="0"/>
        </w:rPr>
        <w:t>RAFAEL DE SOUSA ALVES</w:t>
      </w:r>
    </w:p>
    <w:p w:rsidR="004B5FCE" w:rsidRPr="00E4497A" w:rsidRDefault="004B5FCE" w:rsidP="004B5FCE">
      <w:pPr>
        <w:pStyle w:val="Contedodatabela"/>
        <w:snapToGrid w:val="0"/>
        <w:jc w:val="center"/>
        <w:rPr>
          <w:rFonts w:ascii="Arial" w:eastAsia="Lucida Sans Unicode" w:hAnsi="Arial" w:cs="Arial"/>
        </w:rPr>
      </w:pPr>
      <w:r w:rsidRPr="00E4497A">
        <w:rPr>
          <w:rFonts w:ascii="Arial" w:eastAsia="Lucida Sans Unicode" w:hAnsi="Arial" w:cs="Arial"/>
        </w:rPr>
        <w:t>MEMBRO</w:t>
      </w:r>
    </w:p>
    <w:p w:rsidR="004B5FCE" w:rsidRPr="00E4497A" w:rsidRDefault="004B5FCE" w:rsidP="004B5FCE">
      <w:pPr>
        <w:pStyle w:val="Ttulodatabela"/>
        <w:snapToGrid w:val="0"/>
        <w:rPr>
          <w:rFonts w:ascii="Arial" w:hAnsi="Arial" w:cs="Arial"/>
          <w:i w:val="0"/>
        </w:rPr>
      </w:pPr>
    </w:p>
    <w:p w:rsidR="004B5FCE" w:rsidRPr="00E4497A" w:rsidRDefault="004B5FCE" w:rsidP="004B5FCE">
      <w:pPr>
        <w:pStyle w:val="Ttulodatabela"/>
        <w:snapToGrid w:val="0"/>
        <w:rPr>
          <w:rFonts w:ascii="Arial" w:hAnsi="Arial" w:cs="Arial"/>
          <w:i w:val="0"/>
        </w:rPr>
      </w:pPr>
    </w:p>
    <w:p w:rsidR="004B5FCE" w:rsidRPr="00E4497A" w:rsidRDefault="004B5FCE" w:rsidP="004B5FCE">
      <w:pPr>
        <w:pStyle w:val="Ttulodatabela"/>
        <w:snapToGrid w:val="0"/>
        <w:rPr>
          <w:rFonts w:ascii="Arial" w:hAnsi="Arial" w:cs="Arial"/>
          <w:i w:val="0"/>
        </w:rPr>
      </w:pPr>
    </w:p>
    <w:p w:rsidR="004B5FCE" w:rsidRPr="00E4497A" w:rsidRDefault="004B5FCE" w:rsidP="004B5FCE">
      <w:pPr>
        <w:pStyle w:val="Ttulodatabela"/>
        <w:snapToGrid w:val="0"/>
        <w:rPr>
          <w:rFonts w:ascii="Arial" w:hAnsi="Arial" w:cs="Arial"/>
          <w:i w:val="0"/>
        </w:rPr>
      </w:pPr>
      <w:r w:rsidRPr="00E4497A">
        <w:rPr>
          <w:rFonts w:ascii="Arial" w:hAnsi="Arial" w:cs="Arial"/>
          <w:i w:val="0"/>
        </w:rPr>
        <w:t>LUDMILLA GRAZIELLA M. CARDOSO</w:t>
      </w:r>
    </w:p>
    <w:p w:rsidR="004B5FCE" w:rsidRPr="00E4497A" w:rsidRDefault="004B5FCE" w:rsidP="004B5FCE">
      <w:pPr>
        <w:pStyle w:val="Contedodatabela"/>
        <w:snapToGrid w:val="0"/>
        <w:jc w:val="center"/>
        <w:rPr>
          <w:rFonts w:ascii="Arial" w:eastAsia="Lucida Sans Unicode" w:hAnsi="Arial" w:cs="Arial"/>
        </w:rPr>
      </w:pPr>
      <w:r w:rsidRPr="00E4497A">
        <w:rPr>
          <w:rFonts w:ascii="Arial" w:eastAsia="Lucida Sans Unicode" w:hAnsi="Arial" w:cs="Arial"/>
        </w:rPr>
        <w:t>MEMBRO</w:t>
      </w:r>
    </w:p>
    <w:p w:rsidR="004B5FCE" w:rsidRPr="00E4497A" w:rsidRDefault="004B5FCE" w:rsidP="004B5FCE">
      <w:pPr>
        <w:pStyle w:val="Ttulodatabela"/>
        <w:snapToGrid w:val="0"/>
        <w:rPr>
          <w:rFonts w:ascii="Arial" w:hAnsi="Arial" w:cs="Arial"/>
          <w:i w:val="0"/>
        </w:rPr>
      </w:pPr>
    </w:p>
    <w:p w:rsidR="004B5FCE" w:rsidRPr="00E4497A" w:rsidRDefault="004B5FCE" w:rsidP="004B5FCE">
      <w:pPr>
        <w:pStyle w:val="Ttulodatabela"/>
        <w:snapToGrid w:val="0"/>
        <w:rPr>
          <w:rFonts w:ascii="Arial" w:hAnsi="Arial" w:cs="Arial"/>
          <w:i w:val="0"/>
        </w:rPr>
      </w:pPr>
    </w:p>
    <w:p w:rsidR="004B5FCE" w:rsidRPr="00E4497A" w:rsidRDefault="004B5FCE" w:rsidP="004B5FCE">
      <w:pPr>
        <w:pStyle w:val="Ttulodatabela"/>
        <w:snapToGrid w:val="0"/>
        <w:rPr>
          <w:rFonts w:ascii="Arial" w:hAnsi="Arial" w:cs="Arial"/>
          <w:i w:val="0"/>
        </w:rPr>
      </w:pPr>
    </w:p>
    <w:p w:rsidR="004B5FCE" w:rsidRPr="00E4497A" w:rsidRDefault="004B5FCE" w:rsidP="004B5FCE">
      <w:pPr>
        <w:pStyle w:val="Ttulodatabela"/>
        <w:snapToGrid w:val="0"/>
        <w:rPr>
          <w:rFonts w:ascii="Arial" w:hAnsi="Arial" w:cs="Arial"/>
          <w:i w:val="0"/>
        </w:rPr>
      </w:pPr>
      <w:r w:rsidRPr="00E4497A">
        <w:rPr>
          <w:rFonts w:ascii="Arial" w:hAnsi="Arial" w:cs="Arial"/>
          <w:i w:val="0"/>
        </w:rPr>
        <w:t>VICTOR DEUSDARA CRUVINEL</w:t>
      </w:r>
    </w:p>
    <w:p w:rsidR="004B5FCE" w:rsidRPr="00E4497A" w:rsidRDefault="004B5FCE" w:rsidP="004B5FCE">
      <w:pPr>
        <w:pStyle w:val="Ttulodatabela"/>
        <w:snapToGrid w:val="0"/>
        <w:rPr>
          <w:rFonts w:ascii="Arial" w:eastAsia="Lucida Sans Unicode" w:hAnsi="Arial" w:cs="Arial"/>
          <w:b w:val="0"/>
          <w:i w:val="0"/>
        </w:rPr>
      </w:pPr>
      <w:r w:rsidRPr="00E4497A">
        <w:rPr>
          <w:rFonts w:ascii="Arial" w:eastAsia="Lucida Sans Unicode" w:hAnsi="Arial" w:cs="Arial"/>
          <w:b w:val="0"/>
          <w:i w:val="0"/>
        </w:rPr>
        <w:t>VICE-PRESIDENTE</w:t>
      </w:r>
    </w:p>
    <w:p w:rsidR="004B5FCE" w:rsidRPr="00E4497A" w:rsidRDefault="004B5FCE" w:rsidP="004B5FCE">
      <w:pPr>
        <w:pStyle w:val="Ttulodatabela"/>
        <w:snapToGrid w:val="0"/>
        <w:rPr>
          <w:rFonts w:ascii="Arial" w:hAnsi="Arial" w:cs="Arial"/>
          <w:i w:val="0"/>
        </w:rPr>
      </w:pPr>
    </w:p>
    <w:p w:rsidR="004B5FCE" w:rsidRPr="00E4497A" w:rsidRDefault="004B5FCE" w:rsidP="004B5FCE">
      <w:pPr>
        <w:pStyle w:val="Ttulodatabela"/>
        <w:snapToGrid w:val="0"/>
        <w:rPr>
          <w:rFonts w:ascii="Arial" w:hAnsi="Arial" w:cs="Arial"/>
          <w:i w:val="0"/>
        </w:rPr>
      </w:pPr>
    </w:p>
    <w:p w:rsidR="004B5FCE" w:rsidRPr="00E4497A" w:rsidRDefault="004B5FCE" w:rsidP="004B5FCE">
      <w:pPr>
        <w:pStyle w:val="Ttulodatabela"/>
        <w:snapToGrid w:val="0"/>
        <w:rPr>
          <w:rFonts w:ascii="Arial" w:hAnsi="Arial" w:cs="Arial"/>
          <w:i w:val="0"/>
        </w:rPr>
      </w:pPr>
    </w:p>
    <w:p w:rsidR="004B5FCE" w:rsidRPr="00E4497A" w:rsidRDefault="004B5FCE" w:rsidP="004B5FCE">
      <w:pPr>
        <w:pStyle w:val="Ttulodatabela"/>
        <w:snapToGrid w:val="0"/>
        <w:rPr>
          <w:rFonts w:ascii="Arial" w:hAnsi="Arial" w:cs="Arial"/>
          <w:i w:val="0"/>
        </w:rPr>
      </w:pPr>
      <w:r w:rsidRPr="00E4497A">
        <w:rPr>
          <w:rFonts w:ascii="Arial" w:hAnsi="Arial" w:cs="Arial"/>
          <w:i w:val="0"/>
        </w:rPr>
        <w:t>VICTOR LÁZARO ULHOA FLORÊNCIO DE MORAIS</w:t>
      </w:r>
    </w:p>
    <w:p w:rsidR="00475853" w:rsidRPr="00E4497A" w:rsidRDefault="004B5FCE" w:rsidP="00B61FDC">
      <w:pPr>
        <w:pStyle w:val="Standard"/>
        <w:jc w:val="center"/>
        <w:rPr>
          <w:rFonts w:ascii="Arial" w:hAnsi="Arial" w:cs="Arial"/>
        </w:rPr>
      </w:pPr>
      <w:r w:rsidRPr="00E4497A">
        <w:rPr>
          <w:rFonts w:ascii="Arial" w:hAnsi="Arial" w:cs="Arial"/>
        </w:rPr>
        <w:t>PRESIDENTE</w:t>
      </w:r>
    </w:p>
    <w:sectPr w:rsidR="00475853" w:rsidRPr="00E4497A">
      <w:headerReference w:type="default" r:id="rId10"/>
      <w:pgSz w:w="11906" w:h="16838"/>
      <w:pgMar w:top="1134" w:right="1134" w:bottom="1134" w:left="1134"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7C1" w:rsidRDefault="00F407C1">
      <w:r>
        <w:separator/>
      </w:r>
    </w:p>
  </w:endnote>
  <w:endnote w:type="continuationSeparator" w:id="0">
    <w:p w:rsidR="00F407C1" w:rsidRDefault="00F4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Arial">
    <w:charset w:val="00"/>
    <w:family w:val="swiss"/>
    <w:pitch w:val="default"/>
  </w:font>
  <w:font w:name="ArialMT">
    <w:altName w:val="Times New Roman"/>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7C1" w:rsidRDefault="00F407C1">
      <w:r>
        <w:rPr>
          <w:color w:val="000000"/>
        </w:rPr>
        <w:separator/>
      </w:r>
    </w:p>
  </w:footnote>
  <w:footnote w:type="continuationSeparator" w:id="0">
    <w:p w:rsidR="00F407C1" w:rsidRDefault="00F40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7C1" w:rsidRDefault="00F407C1">
    <w:pPr>
      <w:pStyle w:val="Cabealho"/>
    </w:pPr>
    <w:r>
      <w:rPr>
        <w:noProof/>
        <w:lang w:eastAsia="pt-BR" w:bidi="ar-SA"/>
      </w:rPr>
      <w:drawing>
        <wp:inline distT="0" distB="0" distL="0" distR="0">
          <wp:extent cx="6114959" cy="866880"/>
          <wp:effectExtent l="0" t="0" r="91" b="942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114959" cy="866880"/>
                  </a:xfrm>
                  <a:prstGeom prst="rect">
                    <a:avLst/>
                  </a:prstGeom>
                  <a:solidFill>
                    <a:srgbClr val="FFFFFF"/>
                  </a:solidFill>
                  <a:ln>
                    <a:noFill/>
                    <a:prstDash/>
                  </a:ln>
                </pic:spPr>
              </pic:pic>
            </a:graphicData>
          </a:graphic>
        </wp:inline>
      </w:drawing>
    </w:r>
  </w:p>
  <w:p w:rsidR="00F407C1" w:rsidRDefault="00F407C1">
    <w:pPr>
      <w:pStyle w:val="Cabealho"/>
      <w:jc w:val="center"/>
      <w:rPr>
        <w:rFonts w:eastAsia="Lucida Sans Unicode" w:cs="Lucida Sans Unicode"/>
        <w:b/>
        <w:sz w:val="28"/>
        <w:szCs w:val="20"/>
        <w:lang w:bidi="ar-SA"/>
      </w:rPr>
    </w:pPr>
    <w:r>
      <w:rPr>
        <w:rFonts w:eastAsia="Lucida Sans Unicode" w:cs="Lucida Sans Unicode"/>
        <w:b/>
        <w:sz w:val="28"/>
        <w:szCs w:val="20"/>
        <w:lang w:bidi="ar-SA"/>
      </w:rPr>
      <w:t>TRIBUNAL DE CONTAS DO ESTADO DE GOIÁS</w:t>
    </w:r>
  </w:p>
  <w:p w:rsidR="00F407C1" w:rsidRDefault="00F407C1">
    <w:pPr>
      <w:pStyle w:val="Cabealho"/>
      <w:jc w:val="center"/>
      <w:rPr>
        <w:rFonts w:eastAsia="Lucida Sans Unicode" w:cs="Lucida Sans Unicode"/>
        <w:b/>
        <w:sz w:val="28"/>
        <w:szCs w:val="20"/>
        <w:lang w:bidi="ar-SA"/>
      </w:rPr>
    </w:pPr>
    <w:r>
      <w:rPr>
        <w:rFonts w:eastAsia="Lucida Sans Unicode" w:cs="Lucida Sans Unicode"/>
        <w:b/>
        <w:sz w:val="28"/>
        <w:szCs w:val="20"/>
        <w:lang w:bidi="ar-SA"/>
      </w:rPr>
      <w:t>Comissão Permanente de 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41D3"/>
    <w:multiLevelType w:val="multilevel"/>
    <w:tmpl w:val="E7C639D2"/>
    <w:styleLink w:val="WW8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25DC1885"/>
    <w:multiLevelType w:val="multilevel"/>
    <w:tmpl w:val="97E6E0F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29D45EF9"/>
    <w:multiLevelType w:val="multilevel"/>
    <w:tmpl w:val="6D3621A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3F2B178A"/>
    <w:multiLevelType w:val="multilevel"/>
    <w:tmpl w:val="7DFA5ADC"/>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40413468"/>
    <w:multiLevelType w:val="multilevel"/>
    <w:tmpl w:val="8FB4562C"/>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7CB75830"/>
    <w:multiLevelType w:val="hybridMultilevel"/>
    <w:tmpl w:val="39363A28"/>
    <w:lvl w:ilvl="0" w:tplc="961E8134">
      <w:start w:val="1"/>
      <w:numFmt w:val="lowerLetter"/>
      <w:lvlText w:val="%1)"/>
      <w:lvlJc w:val="left"/>
      <w:pPr>
        <w:ind w:left="720" w:hanging="360"/>
      </w:pPr>
      <w:rPr>
        <w:rFonts w:hint="default"/>
        <w:color w:val="auto"/>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75853"/>
    <w:rsid w:val="00123BC0"/>
    <w:rsid w:val="00372F7A"/>
    <w:rsid w:val="00381D48"/>
    <w:rsid w:val="00475853"/>
    <w:rsid w:val="004B5FCE"/>
    <w:rsid w:val="004D27C3"/>
    <w:rsid w:val="006B3BB7"/>
    <w:rsid w:val="00807887"/>
    <w:rsid w:val="008B03B4"/>
    <w:rsid w:val="00951A43"/>
    <w:rsid w:val="009F707E"/>
    <w:rsid w:val="00A30AEC"/>
    <w:rsid w:val="00B449F3"/>
    <w:rsid w:val="00B51A96"/>
    <w:rsid w:val="00B61FDC"/>
    <w:rsid w:val="00BB70BB"/>
    <w:rsid w:val="00C20671"/>
    <w:rsid w:val="00DB2D35"/>
    <w:rsid w:val="00DB3140"/>
    <w:rsid w:val="00DE3208"/>
    <w:rsid w:val="00E4497A"/>
    <w:rsid w:val="00E5460E"/>
    <w:rsid w:val="00F25417"/>
    <w:rsid w:val="00F407C1"/>
    <w:rsid w:val="00F8088F"/>
    <w:rsid w:val="00FA5E9C"/>
    <w:rsid w:val="00FD34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Standard"/>
    <w:next w:val="Standard"/>
    <w:pPr>
      <w:keepNext/>
      <w:jc w:val="center"/>
      <w:outlineLvl w:val="2"/>
    </w:pPr>
    <w:rPr>
      <w:b/>
      <w:sz w:val="28"/>
    </w:rPr>
  </w:style>
  <w:style w:type="paragraph" w:styleId="Ttulo4">
    <w:name w:val="heading 4"/>
    <w:basedOn w:val="Standard"/>
    <w:next w:val="Standard"/>
    <w:pPr>
      <w:keepNext/>
      <w:jc w:val="center"/>
      <w:outlineLvl w:val="3"/>
    </w:pPr>
    <w:rPr>
      <w:sz w:val="28"/>
    </w:rPr>
  </w:style>
  <w:style w:type="paragraph" w:styleId="Ttulo9">
    <w:name w:val="heading 9"/>
    <w:basedOn w:val="Standard"/>
    <w:next w:val="Standard"/>
    <w:pPr>
      <w:keepNext/>
      <w:outlineLvl w:val="8"/>
    </w:pPr>
    <w:rPr>
      <w:rFonts w:ascii="Arial" w:eastAsia="Lucida Sans Unicode" w:hAnsi="Arial" w:cs="MS Minch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styleId="Ttulo">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opr-formatado">
    <w:name w:val="Texto pré-formatado"/>
    <w:basedOn w:val="Standard"/>
    <w:rPr>
      <w:rFonts w:ascii="Courier New" w:eastAsia="Courier New" w:hAnsi="Courier New" w:cs="Courier New"/>
      <w:sz w:val="20"/>
      <w:szCs w:val="20"/>
    </w:rPr>
  </w:style>
  <w:style w:type="paragraph" w:customStyle="1" w:styleId="Textbodyindent">
    <w:name w:val="Text body indent"/>
    <w:basedOn w:val="Standard"/>
    <w:pPr>
      <w:jc w:val="both"/>
    </w:pPr>
    <w:rPr>
      <w:b/>
      <w:sz w:val="28"/>
    </w:rPr>
  </w:style>
  <w:style w:type="paragraph" w:customStyle="1" w:styleId="Corpodetexto32">
    <w:name w:val="Corpo de texto 32"/>
    <w:basedOn w:val="Standard"/>
    <w:pPr>
      <w:jc w:val="both"/>
    </w:pPr>
    <w:rPr>
      <w:rFonts w:ascii="Arial" w:hAnsi="Arial" w:cs="Arial"/>
      <w:sz w:val="22"/>
    </w:rPr>
  </w:style>
  <w:style w:type="paragraph" w:customStyle="1" w:styleId="Corpodetexto31">
    <w:name w:val="Corpo de texto 31"/>
    <w:basedOn w:val="Standard"/>
    <w:pPr>
      <w:jc w:val="both"/>
    </w:pPr>
    <w:rPr>
      <w:rFonts w:ascii="Arial" w:hAnsi="Arial" w:cs="Arial"/>
    </w:rPr>
  </w:style>
  <w:style w:type="paragraph" w:customStyle="1" w:styleId="WW-Recuodecorpodetexto3">
    <w:name w:val="WW-Recuo de corpo de texto 3"/>
    <w:basedOn w:val="Standard"/>
    <w:pPr>
      <w:ind w:left="1418" w:hanging="710"/>
      <w:jc w:val="both"/>
    </w:pPr>
    <w:rPr>
      <w:sz w:val="28"/>
    </w:rPr>
  </w:style>
  <w:style w:type="paragraph" w:customStyle="1" w:styleId="WW-Corpodetexto3">
    <w:name w:val="WW-Corpo de texto 3"/>
    <w:basedOn w:val="Standard"/>
    <w:pPr>
      <w:jc w:val="both"/>
    </w:pPr>
    <w:rPr>
      <w:rFonts w:ascii="Arial" w:hAnsi="Arial"/>
    </w:rPr>
  </w:style>
  <w:style w:type="paragraph" w:customStyle="1" w:styleId="Recuodecorpodetexto22">
    <w:name w:val="Recuo de corpo de texto 22"/>
    <w:basedOn w:val="Standard"/>
    <w:pPr>
      <w:autoSpaceDE w:val="0"/>
      <w:ind w:left="567"/>
      <w:jc w:val="both"/>
    </w:pPr>
    <w:rPr>
      <w:rFonts w:ascii="Arial" w:hAnsi="Arial" w:cs="Arial"/>
      <w:color w:val="FF0000"/>
      <w:sz w:val="21"/>
    </w:rPr>
  </w:style>
  <w:style w:type="paragraph" w:customStyle="1" w:styleId="Recuodecorpodetexto32">
    <w:name w:val="Recuo de corpo de texto 32"/>
    <w:basedOn w:val="Standard"/>
    <w:pPr>
      <w:spacing w:after="120"/>
      <w:ind w:left="283"/>
    </w:pPr>
    <w:rPr>
      <w:rFonts w:eastAsia="Lucida Sans Unicode"/>
      <w:sz w:val="16"/>
      <w:szCs w:val="16"/>
    </w:rPr>
  </w:style>
  <w:style w:type="paragraph" w:customStyle="1" w:styleId="WW-ndice">
    <w:name w:val="WW-Índice"/>
    <w:basedOn w:val="Standard"/>
    <w:pPr>
      <w:suppressLineNumbers/>
    </w:pPr>
    <w:rPr>
      <w:rFonts w:cs="MS Mincho"/>
    </w:rPr>
  </w:style>
  <w:style w:type="paragraph" w:customStyle="1" w:styleId="Contedodatabela">
    <w:name w:val="Conteúdo da tabela"/>
    <w:basedOn w:val="Standard"/>
    <w:pPr>
      <w:suppressLineNumbers/>
    </w:pPr>
  </w:style>
  <w:style w:type="paragraph" w:customStyle="1" w:styleId="Ttulodatabela">
    <w:name w:val="Título da tabela"/>
    <w:basedOn w:val="Contedodatabela"/>
    <w:pPr>
      <w:jc w:val="center"/>
    </w:pPr>
    <w:rPr>
      <w:b/>
      <w:bCs/>
      <w:i/>
      <w:iCs/>
    </w:rPr>
  </w:style>
  <w:style w:type="paragraph" w:customStyle="1" w:styleId="TableContents">
    <w:name w:val="Table Contents"/>
    <w:basedOn w:val="Standard"/>
    <w:pPr>
      <w:suppressLineNumbers/>
    </w:pPr>
  </w:style>
  <w:style w:type="paragraph" w:styleId="Cabealho">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character" w:customStyle="1" w:styleId="WW-Fontepargpadro111">
    <w:name w:val="WW-Fonte parág. padrão111"/>
  </w:style>
  <w:style w:type="character" w:customStyle="1" w:styleId="Internetlink">
    <w:name w:val="Internet link"/>
    <w:basedOn w:val="WW-Fontepargpadro111"/>
    <w:rPr>
      <w:color w:val="0000FF"/>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2">
    <w:name w:val="WW8Num2"/>
    <w:basedOn w:val="Semlista"/>
    <w:pPr>
      <w:numPr>
        <w:numId w:val="1"/>
      </w:numPr>
    </w:pPr>
  </w:style>
  <w:style w:type="numbering" w:customStyle="1" w:styleId="WW8Num4">
    <w:name w:val="WW8Num4"/>
    <w:basedOn w:val="Semlista"/>
    <w:pPr>
      <w:numPr>
        <w:numId w:val="2"/>
      </w:numPr>
    </w:pPr>
  </w:style>
  <w:style w:type="numbering" w:customStyle="1" w:styleId="WW8Num3">
    <w:name w:val="WW8Num3"/>
    <w:basedOn w:val="Semlista"/>
    <w:pPr>
      <w:numPr>
        <w:numId w:val="3"/>
      </w:numPr>
    </w:pPr>
  </w:style>
  <w:style w:type="paragraph" w:styleId="Textodebalo">
    <w:name w:val="Balloon Text"/>
    <w:basedOn w:val="Normal"/>
    <w:link w:val="TextodebaloChar"/>
    <w:uiPriority w:val="99"/>
    <w:semiHidden/>
    <w:unhideWhenUsed/>
    <w:rsid w:val="008B03B4"/>
    <w:rPr>
      <w:rFonts w:ascii="Tahoma" w:hAnsi="Tahoma"/>
      <w:sz w:val="16"/>
      <w:szCs w:val="14"/>
    </w:rPr>
  </w:style>
  <w:style w:type="character" w:customStyle="1" w:styleId="TextodebaloChar">
    <w:name w:val="Texto de balão Char"/>
    <w:basedOn w:val="Fontepargpadro"/>
    <w:link w:val="Textodebalo"/>
    <w:uiPriority w:val="99"/>
    <w:semiHidden/>
    <w:rsid w:val="008B03B4"/>
    <w:rPr>
      <w:rFonts w:ascii="Tahoma" w:hAnsi="Tahoma"/>
      <w:sz w:val="16"/>
      <w:szCs w:val="14"/>
    </w:rPr>
  </w:style>
  <w:style w:type="character" w:customStyle="1" w:styleId="WW-Absatz-Standardschriftart11111111">
    <w:name w:val="WW-Absatz-Standardschriftart11111111"/>
    <w:rsid w:val="00381D48"/>
  </w:style>
  <w:style w:type="character" w:customStyle="1" w:styleId="WW-Absatz-Standardschriftart1">
    <w:name w:val="WW-Absatz-Standardschriftart1"/>
    <w:rsid w:val="004D27C3"/>
  </w:style>
  <w:style w:type="paragraph" w:customStyle="1" w:styleId="Default">
    <w:name w:val="Default"/>
    <w:rsid w:val="00807887"/>
    <w:pPr>
      <w:widowControl/>
      <w:suppressAutoHyphens w:val="0"/>
      <w:autoSpaceDE w:val="0"/>
      <w:adjustRightInd w:val="0"/>
      <w:textAlignment w:val="auto"/>
    </w:pPr>
    <w:rPr>
      <w:rFonts w:ascii="Arial" w:hAnsi="Arial" w:cs="Arial"/>
      <w:color w:val="000000"/>
      <w:kern w:val="0"/>
      <w:lang w:bidi="ar-SA"/>
    </w:rPr>
  </w:style>
  <w:style w:type="paragraph" w:styleId="Corpodetexto">
    <w:name w:val="Body Text"/>
    <w:basedOn w:val="Normal"/>
    <w:link w:val="CorpodetextoChar"/>
    <w:semiHidden/>
    <w:rsid w:val="00F8088F"/>
    <w:pPr>
      <w:autoSpaceDN/>
      <w:spacing w:after="120"/>
      <w:textAlignment w:val="auto"/>
    </w:pPr>
    <w:rPr>
      <w:rFonts w:eastAsia="Lucida Sans Unicode" w:cs="Tahoma"/>
      <w:color w:val="000000"/>
      <w:kern w:val="0"/>
      <w:lang w:val="en-US" w:eastAsia="en-US" w:bidi="en-US"/>
    </w:rPr>
  </w:style>
  <w:style w:type="character" w:customStyle="1" w:styleId="CorpodetextoChar">
    <w:name w:val="Corpo de texto Char"/>
    <w:basedOn w:val="Fontepargpadro"/>
    <w:link w:val="Corpodetexto"/>
    <w:semiHidden/>
    <w:rsid w:val="00F8088F"/>
    <w:rPr>
      <w:rFonts w:eastAsia="Lucida Sans Unicode" w:cs="Tahoma"/>
      <w:color w:val="000000"/>
      <w:kern w:val="0"/>
      <w:lang w:val="en-US" w:eastAsia="en-US" w:bidi="en-US"/>
    </w:rPr>
  </w:style>
  <w:style w:type="character" w:styleId="Hyperlink">
    <w:name w:val="Hyperlink"/>
    <w:basedOn w:val="Fontepargpadro"/>
    <w:uiPriority w:val="99"/>
    <w:unhideWhenUsed/>
    <w:rsid w:val="00B51A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Standard"/>
    <w:next w:val="Standard"/>
    <w:pPr>
      <w:keepNext/>
      <w:jc w:val="center"/>
      <w:outlineLvl w:val="2"/>
    </w:pPr>
    <w:rPr>
      <w:b/>
      <w:sz w:val="28"/>
    </w:rPr>
  </w:style>
  <w:style w:type="paragraph" w:styleId="Ttulo4">
    <w:name w:val="heading 4"/>
    <w:basedOn w:val="Standard"/>
    <w:next w:val="Standard"/>
    <w:pPr>
      <w:keepNext/>
      <w:jc w:val="center"/>
      <w:outlineLvl w:val="3"/>
    </w:pPr>
    <w:rPr>
      <w:sz w:val="28"/>
    </w:rPr>
  </w:style>
  <w:style w:type="paragraph" w:styleId="Ttulo9">
    <w:name w:val="heading 9"/>
    <w:basedOn w:val="Standard"/>
    <w:next w:val="Standard"/>
    <w:pPr>
      <w:keepNext/>
      <w:outlineLvl w:val="8"/>
    </w:pPr>
    <w:rPr>
      <w:rFonts w:ascii="Arial" w:eastAsia="Lucida Sans Unicode" w:hAnsi="Arial" w:cs="MS Minch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styleId="Ttulo">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opr-formatado">
    <w:name w:val="Texto pré-formatado"/>
    <w:basedOn w:val="Standard"/>
    <w:rPr>
      <w:rFonts w:ascii="Courier New" w:eastAsia="Courier New" w:hAnsi="Courier New" w:cs="Courier New"/>
      <w:sz w:val="20"/>
      <w:szCs w:val="20"/>
    </w:rPr>
  </w:style>
  <w:style w:type="paragraph" w:customStyle="1" w:styleId="Textbodyindent">
    <w:name w:val="Text body indent"/>
    <w:basedOn w:val="Standard"/>
    <w:pPr>
      <w:jc w:val="both"/>
    </w:pPr>
    <w:rPr>
      <w:b/>
      <w:sz w:val="28"/>
    </w:rPr>
  </w:style>
  <w:style w:type="paragraph" w:customStyle="1" w:styleId="Corpodetexto32">
    <w:name w:val="Corpo de texto 32"/>
    <w:basedOn w:val="Standard"/>
    <w:pPr>
      <w:jc w:val="both"/>
    </w:pPr>
    <w:rPr>
      <w:rFonts w:ascii="Arial" w:hAnsi="Arial" w:cs="Arial"/>
      <w:sz w:val="22"/>
    </w:rPr>
  </w:style>
  <w:style w:type="paragraph" w:customStyle="1" w:styleId="Corpodetexto31">
    <w:name w:val="Corpo de texto 31"/>
    <w:basedOn w:val="Standard"/>
    <w:pPr>
      <w:jc w:val="both"/>
    </w:pPr>
    <w:rPr>
      <w:rFonts w:ascii="Arial" w:hAnsi="Arial" w:cs="Arial"/>
    </w:rPr>
  </w:style>
  <w:style w:type="paragraph" w:customStyle="1" w:styleId="WW-Recuodecorpodetexto3">
    <w:name w:val="WW-Recuo de corpo de texto 3"/>
    <w:basedOn w:val="Standard"/>
    <w:pPr>
      <w:ind w:left="1418" w:hanging="710"/>
      <w:jc w:val="both"/>
    </w:pPr>
    <w:rPr>
      <w:sz w:val="28"/>
    </w:rPr>
  </w:style>
  <w:style w:type="paragraph" w:customStyle="1" w:styleId="WW-Corpodetexto3">
    <w:name w:val="WW-Corpo de texto 3"/>
    <w:basedOn w:val="Standard"/>
    <w:pPr>
      <w:jc w:val="both"/>
    </w:pPr>
    <w:rPr>
      <w:rFonts w:ascii="Arial" w:hAnsi="Arial"/>
    </w:rPr>
  </w:style>
  <w:style w:type="paragraph" w:customStyle="1" w:styleId="Recuodecorpodetexto22">
    <w:name w:val="Recuo de corpo de texto 22"/>
    <w:basedOn w:val="Standard"/>
    <w:pPr>
      <w:autoSpaceDE w:val="0"/>
      <w:ind w:left="567"/>
      <w:jc w:val="both"/>
    </w:pPr>
    <w:rPr>
      <w:rFonts w:ascii="Arial" w:hAnsi="Arial" w:cs="Arial"/>
      <w:color w:val="FF0000"/>
      <w:sz w:val="21"/>
    </w:rPr>
  </w:style>
  <w:style w:type="paragraph" w:customStyle="1" w:styleId="Recuodecorpodetexto32">
    <w:name w:val="Recuo de corpo de texto 32"/>
    <w:basedOn w:val="Standard"/>
    <w:pPr>
      <w:spacing w:after="120"/>
      <w:ind w:left="283"/>
    </w:pPr>
    <w:rPr>
      <w:rFonts w:eastAsia="Lucida Sans Unicode"/>
      <w:sz w:val="16"/>
      <w:szCs w:val="16"/>
    </w:rPr>
  </w:style>
  <w:style w:type="paragraph" w:customStyle="1" w:styleId="WW-ndice">
    <w:name w:val="WW-Índice"/>
    <w:basedOn w:val="Standard"/>
    <w:pPr>
      <w:suppressLineNumbers/>
    </w:pPr>
    <w:rPr>
      <w:rFonts w:cs="MS Mincho"/>
    </w:rPr>
  </w:style>
  <w:style w:type="paragraph" w:customStyle="1" w:styleId="Contedodatabela">
    <w:name w:val="Conteúdo da tabela"/>
    <w:basedOn w:val="Standard"/>
    <w:pPr>
      <w:suppressLineNumbers/>
    </w:pPr>
  </w:style>
  <w:style w:type="paragraph" w:customStyle="1" w:styleId="Ttulodatabela">
    <w:name w:val="Título da tabela"/>
    <w:basedOn w:val="Contedodatabela"/>
    <w:pPr>
      <w:jc w:val="center"/>
    </w:pPr>
    <w:rPr>
      <w:b/>
      <w:bCs/>
      <w:i/>
      <w:iCs/>
    </w:rPr>
  </w:style>
  <w:style w:type="paragraph" w:customStyle="1" w:styleId="TableContents">
    <w:name w:val="Table Contents"/>
    <w:basedOn w:val="Standard"/>
    <w:pPr>
      <w:suppressLineNumbers/>
    </w:pPr>
  </w:style>
  <w:style w:type="paragraph" w:styleId="Cabealho">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character" w:customStyle="1" w:styleId="WW-Fontepargpadro111">
    <w:name w:val="WW-Fonte parág. padrão111"/>
  </w:style>
  <w:style w:type="character" w:customStyle="1" w:styleId="Internetlink">
    <w:name w:val="Internet link"/>
    <w:basedOn w:val="WW-Fontepargpadro111"/>
    <w:rPr>
      <w:color w:val="0000FF"/>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2">
    <w:name w:val="WW8Num2"/>
    <w:basedOn w:val="Semlista"/>
    <w:pPr>
      <w:numPr>
        <w:numId w:val="1"/>
      </w:numPr>
    </w:pPr>
  </w:style>
  <w:style w:type="numbering" w:customStyle="1" w:styleId="WW8Num4">
    <w:name w:val="WW8Num4"/>
    <w:basedOn w:val="Semlista"/>
    <w:pPr>
      <w:numPr>
        <w:numId w:val="2"/>
      </w:numPr>
    </w:pPr>
  </w:style>
  <w:style w:type="numbering" w:customStyle="1" w:styleId="WW8Num3">
    <w:name w:val="WW8Num3"/>
    <w:basedOn w:val="Semlista"/>
    <w:pPr>
      <w:numPr>
        <w:numId w:val="3"/>
      </w:numPr>
    </w:pPr>
  </w:style>
  <w:style w:type="paragraph" w:styleId="Textodebalo">
    <w:name w:val="Balloon Text"/>
    <w:basedOn w:val="Normal"/>
    <w:link w:val="TextodebaloChar"/>
    <w:uiPriority w:val="99"/>
    <w:semiHidden/>
    <w:unhideWhenUsed/>
    <w:rsid w:val="008B03B4"/>
    <w:rPr>
      <w:rFonts w:ascii="Tahoma" w:hAnsi="Tahoma"/>
      <w:sz w:val="16"/>
      <w:szCs w:val="14"/>
    </w:rPr>
  </w:style>
  <w:style w:type="character" w:customStyle="1" w:styleId="TextodebaloChar">
    <w:name w:val="Texto de balão Char"/>
    <w:basedOn w:val="Fontepargpadro"/>
    <w:link w:val="Textodebalo"/>
    <w:uiPriority w:val="99"/>
    <w:semiHidden/>
    <w:rsid w:val="008B03B4"/>
    <w:rPr>
      <w:rFonts w:ascii="Tahoma" w:hAnsi="Tahoma"/>
      <w:sz w:val="16"/>
      <w:szCs w:val="14"/>
    </w:rPr>
  </w:style>
  <w:style w:type="character" w:customStyle="1" w:styleId="WW-Absatz-Standardschriftart11111111">
    <w:name w:val="WW-Absatz-Standardschriftart11111111"/>
    <w:rsid w:val="00381D48"/>
  </w:style>
  <w:style w:type="character" w:customStyle="1" w:styleId="WW-Absatz-Standardschriftart1">
    <w:name w:val="WW-Absatz-Standardschriftart1"/>
    <w:rsid w:val="004D27C3"/>
  </w:style>
  <w:style w:type="paragraph" w:customStyle="1" w:styleId="Default">
    <w:name w:val="Default"/>
    <w:rsid w:val="00807887"/>
    <w:pPr>
      <w:widowControl/>
      <w:suppressAutoHyphens w:val="0"/>
      <w:autoSpaceDE w:val="0"/>
      <w:adjustRightInd w:val="0"/>
      <w:textAlignment w:val="auto"/>
    </w:pPr>
    <w:rPr>
      <w:rFonts w:ascii="Arial" w:hAnsi="Arial" w:cs="Arial"/>
      <w:color w:val="000000"/>
      <w:kern w:val="0"/>
      <w:lang w:bidi="ar-SA"/>
    </w:rPr>
  </w:style>
  <w:style w:type="paragraph" w:styleId="Corpodetexto">
    <w:name w:val="Body Text"/>
    <w:basedOn w:val="Normal"/>
    <w:link w:val="CorpodetextoChar"/>
    <w:semiHidden/>
    <w:rsid w:val="00F8088F"/>
    <w:pPr>
      <w:autoSpaceDN/>
      <w:spacing w:after="120"/>
      <w:textAlignment w:val="auto"/>
    </w:pPr>
    <w:rPr>
      <w:rFonts w:eastAsia="Lucida Sans Unicode" w:cs="Tahoma"/>
      <w:color w:val="000000"/>
      <w:kern w:val="0"/>
      <w:lang w:val="en-US" w:eastAsia="en-US" w:bidi="en-US"/>
    </w:rPr>
  </w:style>
  <w:style w:type="character" w:customStyle="1" w:styleId="CorpodetextoChar">
    <w:name w:val="Corpo de texto Char"/>
    <w:basedOn w:val="Fontepargpadro"/>
    <w:link w:val="Corpodetexto"/>
    <w:semiHidden/>
    <w:rsid w:val="00F8088F"/>
    <w:rPr>
      <w:rFonts w:eastAsia="Lucida Sans Unicode" w:cs="Tahoma"/>
      <w:color w:val="000000"/>
      <w:kern w:val="0"/>
      <w:lang w:val="en-US" w:eastAsia="en-US" w:bidi="en-US"/>
    </w:rPr>
  </w:style>
  <w:style w:type="character" w:styleId="Hyperlink">
    <w:name w:val="Hyperlink"/>
    <w:basedOn w:val="Fontepargpadro"/>
    <w:uiPriority w:val="99"/>
    <w:unhideWhenUsed/>
    <w:rsid w:val="00B51A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ce.go.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12</Pages>
  <Words>3976</Words>
  <Characters>21474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Lázaro Ulhoa Florencio de Morais</dc:creator>
  <cp:lastModifiedBy>Victor Lázaro Ulhoa Florencio de Morais</cp:lastModifiedBy>
  <cp:revision>7</cp:revision>
  <cp:lastPrinted>2012-08-28T18:00:00Z</cp:lastPrinted>
  <dcterms:created xsi:type="dcterms:W3CDTF">2012-08-23T16:55:00Z</dcterms:created>
  <dcterms:modified xsi:type="dcterms:W3CDTF">2012-08-28T18:02:00Z</dcterms:modified>
</cp:coreProperties>
</file>